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76.png" ContentType="image/png"/>
  <Override PartName="/word/media/rId75.png" ContentType="image/png"/>
  <Override PartName="/word/media/rId74.png" ContentType="image/png"/>
  <Override PartName="/word/media/image4.png" ContentType="image/png"/>
  <Override PartName="/word/media/image3.png" ContentType="image/png"/>
  <Override PartName="/word/media/image1.png" ContentType="image/png"/>
  <Override PartName="/word/media/image5.png" ContentType="image/png"/>
  <Override PartName="/word/media/image2.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PhD</w:t>
      </w:r>
      <w:r>
        <w:t xml:space="preserve"> </w:t>
      </w:r>
      <w:r>
        <w:t xml:space="preserve">thesis</w:t>
      </w:r>
    </w:p>
    <w:p>
      <w:pPr>
        <w:pStyle w:val="Author"/>
      </w:pPr>
      <w:r>
        <w:t xml:space="preserve">Elías</w:t>
      </w:r>
      <w:r>
        <w:t xml:space="preserve"> </w:t>
      </w:r>
      <w:r>
        <w:t xml:space="preserve">Sæbjörn</w:t>
      </w:r>
      <w:r>
        <w:t xml:space="preserve"> </w:t>
      </w:r>
      <w:r>
        <w:t xml:space="preserve">Eyþórsson</w:t>
      </w:r>
    </w:p>
    <w:p>
      <w:pPr>
        <w:pStyle w:val="Date"/>
      </w:pPr>
      <w:r>
        <w:t xml:space="preserve">2018-11-28</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Heading1"/>
      </w:pPr>
      <w:bookmarkStart w:id="21" w:name="preamble"/>
      <w:bookmarkEnd w:id="21"/>
      <w:r>
        <w:t xml:space="preserve">Preamble</w:t>
      </w:r>
    </w:p>
    <w:p>
      <w:pPr>
        <w:pStyle w:val="FirstParagraph"/>
      </w:pPr>
      <w:r>
        <w:t xml:space="preserve">Placeholder</w:t>
      </w:r>
    </w:p>
    <w:p>
      <w:pPr>
        <w:pStyle w:val="Heading1"/>
      </w:pPr>
      <w:bookmarkStart w:id="22" w:name="intro"/>
      <w:bookmarkEnd w:id="22"/>
      <w:r>
        <w:t xml:space="preserve">Introduction</w:t>
      </w:r>
    </w:p>
    <w:p>
      <w:pPr>
        <w:pStyle w:val="FirstParagraph"/>
      </w:pPr>
      <w:r>
        <w:t xml:space="preserve">Placeholder</w:t>
      </w:r>
    </w:p>
    <w:p>
      <w:pPr>
        <w:pStyle w:val="Heading2"/>
      </w:pPr>
      <w:bookmarkStart w:id="23" w:name="clinical-manifestations-of-streptococcus-pneumoniae"/>
      <w:bookmarkEnd w:id="23"/>
      <w:r>
        <w:t xml:space="preserve">Clinical manifestations of</w:t>
      </w:r>
      <w:r>
        <w:t xml:space="preserve"> </w:t>
      </w:r>
      <w:r>
        <w:rPr>
          <w:i/>
        </w:rPr>
        <w:t xml:space="preserve">Streptococcus pneumoniae</w:t>
      </w:r>
    </w:p>
    <w:p>
      <w:pPr>
        <w:pStyle w:val="Heading3"/>
      </w:pPr>
      <w:bookmarkStart w:id="24" w:name="acute-otitis-media"/>
      <w:bookmarkEnd w:id="24"/>
      <w:r>
        <w:t xml:space="preserve">Acute otitis media</w:t>
      </w:r>
    </w:p>
    <w:p>
      <w:pPr>
        <w:pStyle w:val="Heading4"/>
      </w:pPr>
      <w:bookmarkStart w:id="25" w:name="pathogens-implicated-in-acute-otitis-media"/>
      <w:bookmarkEnd w:id="25"/>
      <w:r>
        <w:t xml:space="preserve">Pathogens implicated in acute otitis media</w:t>
      </w:r>
    </w:p>
    <w:p>
      <w:pPr>
        <w:pStyle w:val="Heading4"/>
      </w:pPr>
      <w:bookmarkStart w:id="26" w:name="healthcare-burden-of-otitis-media"/>
      <w:bookmarkEnd w:id="26"/>
      <w:r>
        <w:t xml:space="preserve">Healthcare burden of otitis media</w:t>
      </w:r>
    </w:p>
    <w:p>
      <w:pPr>
        <w:pStyle w:val="Heading4"/>
      </w:pPr>
      <w:bookmarkStart w:id="27" w:name="tympanostomy-tube-procedures"/>
      <w:bookmarkEnd w:id="27"/>
      <w:r>
        <w:t xml:space="preserve">Tympanostomy tube procedures</w:t>
      </w:r>
    </w:p>
    <w:p>
      <w:pPr>
        <w:pStyle w:val="Heading4"/>
      </w:pPr>
      <w:bookmarkStart w:id="28" w:name="acute-otitis-media-in-iceland"/>
      <w:bookmarkEnd w:id="28"/>
      <w:r>
        <w:t xml:space="preserve">Acute otitis media in Iceland</w:t>
      </w:r>
    </w:p>
    <w:p>
      <w:pPr>
        <w:pStyle w:val="Heading3"/>
      </w:pPr>
      <w:bookmarkStart w:id="29" w:name="pneumonia"/>
      <w:bookmarkEnd w:id="29"/>
      <w:r>
        <w:t xml:space="preserve">Pneumonia</w:t>
      </w:r>
    </w:p>
    <w:p>
      <w:pPr>
        <w:pStyle w:val="Heading4"/>
      </w:pPr>
      <w:bookmarkStart w:id="30" w:name="pathogens-causing-pneumonia"/>
      <w:bookmarkEnd w:id="30"/>
      <w:r>
        <w:t xml:space="preserve">Pathogens causing pneumonia</w:t>
      </w:r>
    </w:p>
    <w:p>
      <w:pPr>
        <w:pStyle w:val="Heading4"/>
      </w:pPr>
      <w:bookmarkStart w:id="31" w:name="healthcare-burden-of-pneumonia"/>
      <w:bookmarkEnd w:id="31"/>
      <w:r>
        <w:t xml:space="preserve">Healthcare burden of pneumonia</w:t>
      </w:r>
    </w:p>
    <w:p>
      <w:pPr>
        <w:pStyle w:val="Heading4"/>
      </w:pPr>
      <w:bookmarkStart w:id="32" w:name="pneumonia-in-iceland"/>
      <w:bookmarkEnd w:id="32"/>
      <w:r>
        <w:t xml:space="preserve">Pneumonia in Iceland</w:t>
      </w:r>
    </w:p>
    <w:p>
      <w:pPr>
        <w:pStyle w:val="Heading3"/>
      </w:pPr>
      <w:bookmarkStart w:id="33" w:name="invasive-pneumococcal-disease"/>
      <w:bookmarkEnd w:id="33"/>
      <w:r>
        <w:t xml:space="preserve">Invasive pneumococcal disease</w:t>
      </w:r>
    </w:p>
    <w:p>
      <w:pPr>
        <w:pStyle w:val="Heading2"/>
      </w:pPr>
      <w:bookmarkStart w:id="34" w:name="pneumococcal-vaccines"/>
      <w:bookmarkEnd w:id="34"/>
      <w:r>
        <w:t xml:space="preserve">Pneumococcal vaccines</w:t>
      </w:r>
    </w:p>
    <w:p>
      <w:pPr>
        <w:pStyle w:val="Heading3"/>
      </w:pPr>
      <w:bookmarkStart w:id="35" w:name="a-brief-history-of-pneumococcal-vaccination"/>
      <w:bookmarkEnd w:id="35"/>
      <w:r>
        <w:t xml:space="preserve">A brief history of pneumococcal vaccination</w:t>
      </w:r>
    </w:p>
    <w:p>
      <w:pPr>
        <w:pStyle w:val="Heading3"/>
      </w:pPr>
      <w:bookmarkStart w:id="36" w:name="key-concepts-in-pneumococcal-vaccine-epidemiology"/>
      <w:bookmarkEnd w:id="36"/>
      <w:r>
        <w:t xml:space="preserve">Key concepts in pneumococcal vaccine epidemiology</w:t>
      </w:r>
    </w:p>
    <w:p>
      <w:pPr>
        <w:pStyle w:val="Heading3"/>
      </w:pPr>
      <w:bookmarkStart w:id="37" w:name="the-impact-of-pneumococcal-conjugate-vaccines-on-otitis-media"/>
      <w:bookmarkEnd w:id="37"/>
      <w:r>
        <w:t xml:space="preserve">The impact of pneumococcal conjugate vaccines on otitis media</w:t>
      </w:r>
    </w:p>
    <w:p>
      <w:pPr>
        <w:pStyle w:val="Heading4"/>
      </w:pPr>
      <w:bookmarkStart w:id="38" w:name="randomized-controlled-trials"/>
      <w:bookmarkEnd w:id="38"/>
      <w:r>
        <w:t xml:space="preserve">Randomized controlled trials</w:t>
      </w:r>
    </w:p>
    <w:p>
      <w:pPr>
        <w:pStyle w:val="Heading4"/>
      </w:pPr>
      <w:bookmarkStart w:id="39" w:name="observational-studies"/>
      <w:bookmarkEnd w:id="39"/>
      <w:r>
        <w:t xml:space="preserve">Observational studies</w:t>
      </w:r>
    </w:p>
    <w:p>
      <w:pPr>
        <w:pStyle w:val="Heading3"/>
      </w:pPr>
      <w:bookmarkStart w:id="40" w:name="the-impact-of-pneumococcal-conjugate-vaccines-on-pneumonia"/>
      <w:bookmarkEnd w:id="40"/>
      <w:r>
        <w:t xml:space="preserve">The impact of pneumococcal conjugate vaccines on pneumonia</w:t>
      </w:r>
    </w:p>
    <w:p>
      <w:pPr>
        <w:pStyle w:val="Heading3"/>
      </w:pPr>
      <w:bookmarkStart w:id="41" w:name="the-impact-of-pneumococcal-conjugate-vaccines-on-invasive-pneumococcal-disease"/>
      <w:bookmarkEnd w:id="41"/>
      <w:r>
        <w:t xml:space="preserve">The impact of pneumococcal conjugate vaccines on Invasive pneumococcal disease</w:t>
      </w:r>
    </w:p>
    <w:p>
      <w:pPr>
        <w:pStyle w:val="Heading2"/>
      </w:pPr>
      <w:bookmarkStart w:id="42" w:name="cost-effectiveness-in-the-context-of-pneumococcal-conjugate-vaccination"/>
      <w:bookmarkEnd w:id="42"/>
      <w:r>
        <w:t xml:space="preserve">Cost-effectiveness in the context of pneumococcal conjugate vaccination</w:t>
      </w:r>
    </w:p>
    <w:p>
      <w:pPr>
        <w:pStyle w:val="Heading3"/>
      </w:pPr>
      <w:bookmarkStart w:id="43" w:name="measurement-of-effectiveness-and-choice-of-health-outcomes"/>
      <w:bookmarkEnd w:id="43"/>
      <w:r>
        <w:t xml:space="preserve">Measurement of effectiveness and choice of health outcomes</w:t>
      </w:r>
    </w:p>
    <w:p>
      <w:pPr>
        <w:pStyle w:val="Heading4"/>
      </w:pPr>
      <w:bookmarkStart w:id="44" w:name="health-outcomes-considered"/>
      <w:bookmarkEnd w:id="44"/>
      <w:r>
        <w:t xml:space="preserve">Health outcomes considered</w:t>
      </w:r>
    </w:p>
    <w:p>
      <w:pPr>
        <w:pStyle w:val="Heading4"/>
      </w:pPr>
      <w:bookmarkStart w:id="45" w:name="effectiveness-of-pneumococcal-conjugate-vaccines"/>
      <w:bookmarkEnd w:id="45"/>
      <w:r>
        <w:t xml:space="preserve">Effectiveness of pneumococcal conjugate vaccines</w:t>
      </w:r>
    </w:p>
    <w:p>
      <w:pPr>
        <w:pStyle w:val="Heading3"/>
      </w:pPr>
      <w:bookmarkStart w:id="46" w:name="estimating-resources-and-cost"/>
      <w:bookmarkEnd w:id="46"/>
      <w:r>
        <w:t xml:space="preserve">Estimating resources and cost</w:t>
      </w:r>
    </w:p>
    <w:p>
      <w:pPr>
        <w:pStyle w:val="Heading1"/>
      </w:pPr>
      <w:bookmarkStart w:id="47" w:name="aims"/>
      <w:bookmarkEnd w:id="47"/>
      <w:r>
        <w:t xml:space="preserve">Aims</w:t>
      </w:r>
    </w:p>
    <w:p>
      <w:pPr>
        <w:pStyle w:val="FirstParagraph"/>
      </w:pPr>
      <w:r>
        <w:t xml:space="preserve">The aims of the thesis were to estimate the impact of PHiD-CV10 on various facets of pneumococcal disease, associated healthcare burden, and cost:</w:t>
      </w:r>
    </w:p>
    <w:p>
      <w:pPr>
        <w:pStyle w:val="Compact"/>
        <w:numPr>
          <w:numId w:val="1001"/>
          <w:ilvl w:val="0"/>
        </w:numPr>
      </w:pPr>
      <w:r>
        <w:t xml:space="preserve">The incidence of paediatric emergency department visits for otitis media with treatment failure (Paper I)</w:t>
      </w:r>
    </w:p>
    <w:p>
      <w:pPr>
        <w:pStyle w:val="Compact"/>
        <w:numPr>
          <w:numId w:val="1001"/>
          <w:ilvl w:val="0"/>
        </w:numPr>
      </w:pPr>
      <w:r>
        <w:t xml:space="preserve">The incidence of otitis media visits to primary care (Paper II)</w:t>
      </w:r>
    </w:p>
    <w:p>
      <w:pPr>
        <w:pStyle w:val="Compact"/>
        <w:numPr>
          <w:numId w:val="1001"/>
          <w:ilvl w:val="0"/>
        </w:numPr>
      </w:pPr>
      <w:r>
        <w:t xml:space="preserve">The incidence of outpatient antimicrobial prescriptions (Paper III)</w:t>
      </w:r>
    </w:p>
    <w:p>
      <w:pPr>
        <w:pStyle w:val="Compact"/>
        <w:numPr>
          <w:numId w:val="1001"/>
          <w:ilvl w:val="0"/>
        </w:numPr>
      </w:pPr>
      <w:r>
        <w:t xml:space="preserve">The incidence of tymapnostomy tube procedures (Paper IV)</w:t>
      </w:r>
    </w:p>
    <w:p>
      <w:pPr>
        <w:pStyle w:val="Compact"/>
        <w:numPr>
          <w:numId w:val="1001"/>
          <w:ilvl w:val="0"/>
        </w:numPr>
      </w:pPr>
      <w:r>
        <w:t xml:space="preserve">The incidence of hospitalizations for respiratory and invasive infections commonly associated with</w:t>
      </w:r>
      <w:r>
        <w:t xml:space="preserve"> </w:t>
      </w:r>
      <w:r>
        <w:rPr>
          <w:i/>
        </w:rPr>
        <w:t xml:space="preserve">Streptococcus pneumoniae</w:t>
      </w:r>
      <w:r>
        <w:t xml:space="preserve"> </w:t>
      </w:r>
      <w:r>
        <w:t xml:space="preserve">(Paper V)</w:t>
      </w:r>
    </w:p>
    <w:p>
      <w:pPr>
        <w:pStyle w:val="Compact"/>
        <w:numPr>
          <w:numId w:val="1001"/>
          <w:ilvl w:val="0"/>
        </w:numPr>
      </w:pPr>
      <w:r>
        <w:t xml:space="preserve">Incidence of pneumococcal disease in all age-groups and cost-benefit analysis (Paper VI)</w:t>
      </w:r>
    </w:p>
    <w:p>
      <w:pPr>
        <w:pStyle w:val="Heading1"/>
      </w:pPr>
      <w:bookmarkStart w:id="48" w:name="methods"/>
      <w:bookmarkEnd w:id="48"/>
      <w:r>
        <w:t xml:space="preserve">Materials and methods</w:t>
      </w:r>
    </w:p>
    <w:p>
      <w:pPr>
        <w:pStyle w:val="FirstParagraph"/>
      </w:pPr>
      <w:r>
        <w:t xml:space="preserve">Placeholder</w:t>
      </w:r>
    </w:p>
    <w:p>
      <w:pPr>
        <w:pStyle w:val="Heading2"/>
      </w:pPr>
      <w:bookmarkStart w:id="49" w:name="datasources"/>
      <w:bookmarkEnd w:id="49"/>
      <w:r>
        <w:t xml:space="preserve">Data collection and sources</w:t>
      </w:r>
    </w:p>
    <w:p>
      <w:pPr>
        <w:pStyle w:val="Heading3"/>
      </w:pPr>
      <w:bookmarkStart w:id="50" w:name="statisticsiceland"/>
      <w:bookmarkEnd w:id="50"/>
      <w:r>
        <w:t xml:space="preserve">Statistics Iceland</w:t>
      </w:r>
    </w:p>
    <w:p>
      <w:pPr>
        <w:pStyle w:val="Heading3"/>
      </w:pPr>
      <w:bookmarkStart w:id="51" w:name="patientregistry"/>
      <w:bookmarkEnd w:id="51"/>
      <w:r>
        <w:t xml:space="preserve">Landspitali University Hospital patient registry</w:t>
      </w:r>
    </w:p>
    <w:p>
      <w:pPr>
        <w:pStyle w:val="Heading3"/>
      </w:pPr>
      <w:bookmarkStart w:id="52" w:name="primarycareregistry"/>
      <w:bookmarkEnd w:id="52"/>
      <w:r>
        <w:t xml:space="preserve">The Primary Care Registry</w:t>
      </w:r>
    </w:p>
    <w:p>
      <w:pPr>
        <w:pStyle w:val="Heading3"/>
      </w:pPr>
      <w:bookmarkStart w:id="53" w:name="vaccineregistry"/>
      <w:bookmarkEnd w:id="53"/>
      <w:r>
        <w:t xml:space="preserve">The National Vaccine Registry</w:t>
      </w:r>
    </w:p>
    <w:p>
      <w:pPr>
        <w:pStyle w:val="Heading3"/>
      </w:pPr>
      <w:bookmarkStart w:id="54" w:name="prescriptionregistry"/>
      <w:bookmarkEnd w:id="54"/>
      <w:r>
        <w:t xml:space="preserve">The National Drug Prescription Registry</w:t>
      </w:r>
    </w:p>
    <w:p>
      <w:pPr>
        <w:pStyle w:val="Heading3"/>
      </w:pPr>
      <w:bookmarkStart w:id="55" w:name="reimbursementdatabase"/>
      <w:bookmarkEnd w:id="55"/>
      <w:r>
        <w:t xml:space="preserve">Reimbursement database of Icelandic Health Insurance</w:t>
      </w:r>
    </w:p>
    <w:p>
      <w:pPr>
        <w:pStyle w:val="Heading2"/>
      </w:pPr>
      <w:bookmarkStart w:id="56" w:name="paper1"/>
      <w:bookmarkEnd w:id="56"/>
      <w:r>
        <w:t xml:space="preserve">Impact on otitis media with treatment failure (Paper I)</w:t>
      </w:r>
    </w:p>
    <w:p>
      <w:pPr>
        <w:pStyle w:val="Heading2"/>
      </w:pPr>
      <w:bookmarkStart w:id="57" w:name="paper2"/>
      <w:bookmarkEnd w:id="57"/>
      <w:r>
        <w:t xml:space="preserve">Impact on primary care visits for otitis media (Paper II)</w:t>
      </w:r>
    </w:p>
    <w:p>
      <w:pPr>
        <w:pStyle w:val="Heading2"/>
      </w:pPr>
      <w:bookmarkStart w:id="58" w:name="paper3"/>
      <w:bookmarkEnd w:id="58"/>
      <w:r>
        <w:t xml:space="preserve">Impact on outpatient antimicrobial prescriptions (Paper III)</w:t>
      </w:r>
    </w:p>
    <w:p>
      <w:pPr>
        <w:pStyle w:val="Heading2"/>
      </w:pPr>
      <w:bookmarkStart w:id="59" w:name="paper4"/>
      <w:bookmarkEnd w:id="59"/>
      <w:r>
        <w:t xml:space="preserve">Impact on tympanostomy tube procedures (Paper IV)</w:t>
      </w:r>
    </w:p>
    <w:p>
      <w:pPr>
        <w:pStyle w:val="Heading2"/>
      </w:pPr>
      <w:bookmarkStart w:id="60" w:name="paper5"/>
      <w:bookmarkEnd w:id="60"/>
      <w:r>
        <w:t xml:space="preserve">Impact on respiratory associated hospitalizations (Paper V)</w:t>
      </w:r>
    </w:p>
    <w:p>
      <w:pPr>
        <w:pStyle w:val="Heading2"/>
      </w:pPr>
      <w:bookmarkStart w:id="61" w:name="paper6"/>
      <w:bookmarkEnd w:id="61"/>
      <w:r>
        <w:t xml:space="preserve">Impact and cost-benefit analysis (Paper VI)</w:t>
      </w:r>
    </w:p>
    <w:p>
      <w:pPr>
        <w:pStyle w:val="Heading1"/>
      </w:pPr>
      <w:bookmarkStart w:id="62" w:name="results"/>
      <w:bookmarkEnd w:id="62"/>
      <w:r>
        <w:t xml:space="preserve">Results</w:t>
      </w:r>
    </w:p>
    <w:p>
      <w:pPr>
        <w:pStyle w:val="FirstParagraph"/>
      </w:pPr>
      <w:r>
        <w:t xml:space="preserve">Placeholder</w:t>
      </w:r>
    </w:p>
    <w:p>
      <w:pPr>
        <w:pStyle w:val="Heading2"/>
      </w:pPr>
      <w:bookmarkStart w:id="63" w:name="datasourcesresults"/>
      <w:bookmarkEnd w:id="63"/>
      <w:r>
        <w:t xml:space="preserve">Data collection and sources</w:t>
      </w:r>
    </w:p>
    <w:p>
      <w:pPr>
        <w:pStyle w:val="Heading3"/>
      </w:pPr>
      <w:bookmarkStart w:id="64" w:name="statistics-iceland"/>
      <w:bookmarkEnd w:id="64"/>
      <w:r>
        <w:t xml:space="preserve">Statistics Iceland</w:t>
      </w:r>
    </w:p>
    <w:p>
      <w:pPr>
        <w:pStyle w:val="Heading3"/>
      </w:pPr>
      <w:bookmarkStart w:id="65" w:name="landspitali-university-hospital-patient-registry"/>
      <w:bookmarkEnd w:id="65"/>
      <w:r>
        <w:t xml:space="preserve">Landspitali University Hospital patient registry</w:t>
      </w:r>
    </w:p>
    <w:p>
      <w:pPr>
        <w:pStyle w:val="Heading3"/>
      </w:pPr>
      <w:bookmarkStart w:id="66" w:name="the-primary-care-registry"/>
      <w:bookmarkEnd w:id="66"/>
      <w:r>
        <w:t xml:space="preserve">The Primary Care Registry</w:t>
      </w:r>
    </w:p>
    <w:p>
      <w:pPr>
        <w:pStyle w:val="Heading3"/>
      </w:pPr>
      <w:bookmarkStart w:id="67" w:name="the-national-vaccine-registry"/>
      <w:bookmarkEnd w:id="67"/>
      <w:r>
        <w:t xml:space="preserve">The National Vaccine Registry</w:t>
      </w:r>
    </w:p>
    <w:p>
      <w:pPr>
        <w:pStyle w:val="Heading3"/>
      </w:pPr>
      <w:bookmarkStart w:id="68" w:name="the-national-drug-prescription-registry"/>
      <w:bookmarkEnd w:id="68"/>
      <w:r>
        <w:t xml:space="preserve">The National Drug Prescription Registry</w:t>
      </w:r>
    </w:p>
    <w:p>
      <w:pPr>
        <w:pStyle w:val="Heading3"/>
      </w:pPr>
      <w:bookmarkStart w:id="69" w:name="reimbursement-database-of-icelandic-health-insurance"/>
      <w:bookmarkEnd w:id="69"/>
      <w:r>
        <w:t xml:space="preserve">Reimbursement database of Icelandic Health Insurance</w:t>
      </w:r>
    </w:p>
    <w:p>
      <w:pPr>
        <w:pStyle w:val="Heading2"/>
      </w:pPr>
      <w:bookmarkStart w:id="70" w:name="paper1results"/>
      <w:bookmarkEnd w:id="70"/>
      <w:r>
        <w:t xml:space="preserve">Impact on otitis media with treatment failure (Paper I)</w:t>
      </w:r>
    </w:p>
    <w:p>
      <w:pPr>
        <w:pStyle w:val="Heading2"/>
      </w:pPr>
      <w:bookmarkStart w:id="71" w:name="paper2results"/>
      <w:bookmarkEnd w:id="71"/>
      <w:r>
        <w:t xml:space="preserve">Impact on primary care visits for otitis media (Paper II)</w:t>
      </w:r>
    </w:p>
    <w:p>
      <w:pPr>
        <w:pStyle w:val="Heading2"/>
      </w:pPr>
      <w:bookmarkStart w:id="72" w:name="paper3results"/>
      <w:bookmarkEnd w:id="72"/>
      <w:r>
        <w:t xml:space="preserve">Impact on outpatient antimicrobial prescriptions (Paper III)</w:t>
      </w:r>
    </w:p>
    <w:p>
      <w:pPr>
        <w:pStyle w:val="Heading2"/>
      </w:pPr>
      <w:bookmarkStart w:id="73" w:name="paper4results"/>
      <w:bookmarkEnd w:id="73"/>
      <w:r>
        <w:t xml:space="preserve">Impact on tympanostomy tube procedures (Paper IV)</w:t>
      </w:r>
    </w:p>
    <w:p>
      <w:pPr>
        <w:pStyle w:val="FirstParagraph"/>
      </w:pPr>
      <w:r>
        <w:t xml:space="preserve">Demographic data regarding the study birth-cohorts are summarized in chapter</w:t>
      </w:r>
      <w:r>
        <w:t xml:space="preserve"> </w:t>
      </w:r>
      <w:r>
        <w:t xml:space="preserve">5.1</w:t>
      </w:r>
      <w:r>
        <w:t xml:space="preserve">.</w:t>
      </w:r>
      <w:r>
        <w:t xml:space="preserve"> </w:t>
      </w:r>
      <w:r>
        <w:t xml:space="preserve">In total during the study period, 14,351 children underwent 20,373 tympanostomy tube placements, 57% of whom were male.</w:t>
      </w:r>
      <w:r>
        <w:t xml:space="preserve"> </w:t>
      </w:r>
      <w:r>
        <w:t xml:space="preserve">The median age of children undergoing their first tympanostomy procedure was 17 months (IQR 13-24).</w:t>
      </w:r>
      <w:r>
        <w:t xml:space="preserve"> </w:t>
      </w:r>
      <w:r>
        <w:t xml:space="preserve">In the subset of children who underwent a tympanostomy tube placement during the study period, 10,248 (71%) only underwent one procedure, 2,902 (20%) underwent two, and 1201 (8%) underwent three or more.</w:t>
      </w:r>
      <w:r>
        <w:t xml:space="preserve"> </w:t>
      </w:r>
      <w:r>
        <w:t xml:space="preserve">Almost all (98%) of the procedures were performed in private outpatient clinics.</w:t>
      </w:r>
      <w:r>
        <w:t xml:space="preserve"> </w:t>
      </w:r>
      <w:r>
        <w:t xml:space="preserve">The number of otolaryngologists doing outpatient tympanostomy tube placements increased from 15 in 2005 to 23 in 2016.</w:t>
      </w:r>
      <w:r>
        <w:t xml:space="preserve"> </w:t>
      </w:r>
      <w:r>
        <w:t xml:space="preserve">Each surgeon performed a median of 123 (IQR: 56.5-196) procedures each year.</w:t>
      </w:r>
      <w:r>
        <w:t xml:space="preserve"> </w:t>
      </w:r>
      <w:r>
        <w:t xml:space="preserve">The study’s population is summarized in Table</w:t>
      </w:r>
      <w:r>
        <w:t xml:space="preserve"> </w:t>
      </w:r>
      <w:r>
        <w:t xml:space="preserve">1</w:t>
      </w:r>
      <w:r>
        <w:t xml:space="preserve">.</w:t>
      </w:r>
    </w:p>
    <w:p>
      <w:pPr>
        <w:pStyle w:val="TableCaption"/>
      </w:pPr>
      <w:r>
        <w:t xml:space="preserve">Table 1 Demographic information regarding the study’s birth-cohorts</w:t>
      </w:r>
    </w:p>
    <w:tbl>
      <w:tblPr>
        <w:tblStyle w:val="TableNormal"/>
        <w:tblW w:type="pct" w:w="0.0"/>
        <w:tblLook w:firstRow="1"/>
        <w:tblCaption w:val="Table 1 Demographic information regarding the study’s birth-cohorts"/>
      </w:tblPr>
      <w:tblGrid/>
      <w:tr>
        <w:trPr>
          <w:cnfStyle w:firstRow="1"/>
        </w:trPr>
        <w:tc>
          <w:tcPr>
            <w:tcBorders>
              <w:bottom w:val="single"/>
            </w:tcBorders>
            <w:vAlign w:val="bottom"/>
          </w:tcPr>
          <w:p>
            <w:pPr>
              <w:pStyle w:val="Compact"/>
              <w:jc w:val="left"/>
            </w:pPr>
            <w:r>
              <w:t xml:space="preserve">Birth-cohort</w:t>
            </w:r>
          </w:p>
        </w:tc>
        <w:tc>
          <w:tcPr>
            <w:tcBorders>
              <w:bottom w:val="single"/>
            </w:tcBorders>
            <w:vAlign w:val="bottom"/>
          </w:tcPr>
          <w:p>
            <w:pPr>
              <w:pStyle w:val="Compact"/>
              <w:jc w:val="right"/>
            </w:pPr>
            <w:r>
              <w:t xml:space="preserve">Number of children</w:t>
            </w:r>
          </w:p>
        </w:tc>
        <w:tc>
          <w:tcPr>
            <w:tcBorders>
              <w:bottom w:val="single"/>
            </w:tcBorders>
            <w:vAlign w:val="bottom"/>
          </w:tcPr>
          <w:p>
            <w:pPr>
              <w:pStyle w:val="Compact"/>
              <w:jc w:val="right"/>
            </w:pPr>
            <w:r>
              <w:t xml:space="preserve">Person-years</w:t>
            </w:r>
          </w:p>
        </w:tc>
        <w:tc>
          <w:tcPr>
            <w:tcBorders>
              <w:bottom w:val="single"/>
            </w:tcBorders>
            <w:vAlign w:val="bottom"/>
          </w:tcPr>
          <w:p>
            <w:pPr>
              <w:pStyle w:val="Compact"/>
              <w:jc w:val="left"/>
            </w:pPr>
            <w:r>
              <w:t xml:space="preserve">Number of procedures (n children)</w:t>
            </w:r>
          </w:p>
        </w:tc>
        <w:tc>
          <w:tcPr>
            <w:tcBorders>
              <w:bottom w:val="single"/>
            </w:tcBorders>
            <w:vAlign w:val="bottom"/>
          </w:tcPr>
          <w:p>
            <w:pPr>
              <w:pStyle w:val="Compact"/>
              <w:jc w:val="left"/>
            </w:pPr>
            <w:r>
              <w:t xml:space="preserve">Median age (months)</w:t>
            </w:r>
          </w:p>
        </w:tc>
      </w:tr>
      <w:tr>
        <w:tc>
          <w:p>
            <w:pPr>
              <w:pStyle w:val="Compact"/>
              <w:jc w:val="left"/>
            </w:pPr>
            <w:r>
              <w:t xml:space="preserve">2005</w:t>
            </w:r>
          </w:p>
        </w:tc>
        <w:tc>
          <w:p>
            <w:pPr>
              <w:pStyle w:val="Compact"/>
              <w:jc w:val="right"/>
            </w:pPr>
            <w:r>
              <w:t xml:space="preserve">4541</w:t>
            </w:r>
          </w:p>
        </w:tc>
        <w:tc>
          <w:p>
            <w:pPr>
              <w:pStyle w:val="Compact"/>
              <w:jc w:val="right"/>
            </w:pPr>
            <w:r>
              <w:t xml:space="preserve">21409.250</w:t>
            </w:r>
          </w:p>
        </w:tc>
        <w:tc>
          <w:p>
            <w:pPr>
              <w:pStyle w:val="Compact"/>
              <w:jc w:val="left"/>
            </w:pPr>
            <w:r>
              <w:t xml:space="preserve">1,946 (1,280)</w:t>
            </w:r>
          </w:p>
        </w:tc>
        <w:tc>
          <w:p>
            <w:pPr>
              <w:pStyle w:val="Compact"/>
              <w:jc w:val="left"/>
            </w:pPr>
            <w:r>
              <w:t xml:space="preserve">17 (12-25)</w:t>
            </w:r>
          </w:p>
        </w:tc>
      </w:tr>
      <w:tr>
        <w:tc>
          <w:p>
            <w:pPr>
              <w:pStyle w:val="Compact"/>
              <w:jc w:val="left"/>
            </w:pPr>
            <w:r>
              <w:t xml:space="preserve">2006</w:t>
            </w:r>
          </w:p>
        </w:tc>
        <w:tc>
          <w:p>
            <w:pPr>
              <w:pStyle w:val="Compact"/>
              <w:jc w:val="right"/>
            </w:pPr>
            <w:r>
              <w:t xml:space="preserve">4665</w:t>
            </w:r>
          </w:p>
        </w:tc>
        <w:tc>
          <w:p>
            <w:pPr>
              <w:pStyle w:val="Compact"/>
              <w:jc w:val="right"/>
            </w:pPr>
            <w:r>
              <w:t xml:space="preserve">21988.083</w:t>
            </w:r>
          </w:p>
        </w:tc>
        <w:tc>
          <w:p>
            <w:pPr>
              <w:pStyle w:val="Compact"/>
              <w:jc w:val="left"/>
            </w:pPr>
            <w:r>
              <w:t xml:space="preserve">1,931 (1,303)</w:t>
            </w:r>
          </w:p>
        </w:tc>
        <w:tc>
          <w:p>
            <w:pPr>
              <w:pStyle w:val="Compact"/>
              <w:jc w:val="left"/>
            </w:pPr>
            <w:r>
              <w:t xml:space="preserve">18 (13-27)</w:t>
            </w:r>
          </w:p>
        </w:tc>
      </w:tr>
      <w:tr>
        <w:tc>
          <w:p>
            <w:pPr>
              <w:pStyle w:val="Compact"/>
              <w:jc w:val="left"/>
            </w:pPr>
            <w:r>
              <w:t xml:space="preserve">2007</w:t>
            </w:r>
          </w:p>
        </w:tc>
        <w:tc>
          <w:p>
            <w:pPr>
              <w:pStyle w:val="Compact"/>
              <w:jc w:val="right"/>
            </w:pPr>
            <w:r>
              <w:t xml:space="preserve">4770</w:t>
            </w:r>
          </w:p>
        </w:tc>
        <w:tc>
          <w:p>
            <w:pPr>
              <w:pStyle w:val="Compact"/>
              <w:jc w:val="right"/>
            </w:pPr>
            <w:r>
              <w:t xml:space="preserve">22500.250</w:t>
            </w:r>
          </w:p>
        </w:tc>
        <w:tc>
          <w:p>
            <w:pPr>
              <w:pStyle w:val="Compact"/>
              <w:jc w:val="left"/>
            </w:pPr>
            <w:r>
              <w:t xml:space="preserve">1,974 (1,335)</w:t>
            </w:r>
          </w:p>
        </w:tc>
        <w:tc>
          <w:p>
            <w:pPr>
              <w:pStyle w:val="Compact"/>
              <w:jc w:val="left"/>
            </w:pPr>
            <w:r>
              <w:t xml:space="preserve">18 (13-27)</w:t>
            </w:r>
          </w:p>
        </w:tc>
      </w:tr>
      <w:tr>
        <w:tc>
          <w:p>
            <w:pPr>
              <w:pStyle w:val="Compact"/>
              <w:jc w:val="left"/>
            </w:pPr>
            <w:r>
              <w:t xml:space="preserve">2008</w:t>
            </w:r>
          </w:p>
        </w:tc>
        <w:tc>
          <w:p>
            <w:pPr>
              <w:pStyle w:val="Compact"/>
              <w:jc w:val="right"/>
            </w:pPr>
            <w:r>
              <w:t xml:space="preserve">4949</w:t>
            </w:r>
          </w:p>
        </w:tc>
        <w:tc>
          <w:p>
            <w:pPr>
              <w:pStyle w:val="Compact"/>
              <w:jc w:val="right"/>
            </w:pPr>
            <w:r>
              <w:t xml:space="preserve">23313.333</w:t>
            </w:r>
          </w:p>
        </w:tc>
        <w:tc>
          <w:p>
            <w:pPr>
              <w:pStyle w:val="Compact"/>
              <w:jc w:val="left"/>
            </w:pPr>
            <w:r>
              <w:t xml:space="preserve">2,140 (1,428)</w:t>
            </w:r>
          </w:p>
        </w:tc>
        <w:tc>
          <w:p>
            <w:pPr>
              <w:pStyle w:val="Compact"/>
              <w:jc w:val="left"/>
            </w:pPr>
            <w:r>
              <w:t xml:space="preserve">18 (13-26)</w:t>
            </w:r>
          </w:p>
        </w:tc>
      </w:tr>
      <w:tr>
        <w:tc>
          <w:p>
            <w:pPr>
              <w:pStyle w:val="Compact"/>
              <w:jc w:val="left"/>
            </w:pPr>
            <w:r>
              <w:t xml:space="preserve">2009</w:t>
            </w:r>
          </w:p>
        </w:tc>
        <w:tc>
          <w:p>
            <w:pPr>
              <w:pStyle w:val="Compact"/>
              <w:jc w:val="right"/>
            </w:pPr>
            <w:r>
              <w:t xml:space="preserve">5128</w:t>
            </w:r>
          </w:p>
        </w:tc>
        <w:tc>
          <w:p>
            <w:pPr>
              <w:pStyle w:val="Compact"/>
              <w:jc w:val="right"/>
            </w:pPr>
            <w:r>
              <w:t xml:space="preserve">24141.417</w:t>
            </w:r>
          </w:p>
        </w:tc>
        <w:tc>
          <w:p>
            <w:pPr>
              <w:pStyle w:val="Compact"/>
              <w:jc w:val="left"/>
            </w:pPr>
            <w:r>
              <w:t xml:space="preserve">2,145 (1,514)</w:t>
            </w:r>
          </w:p>
        </w:tc>
        <w:tc>
          <w:p>
            <w:pPr>
              <w:pStyle w:val="Compact"/>
              <w:jc w:val="left"/>
            </w:pPr>
            <w:r>
              <w:t xml:space="preserve">18 (13-25)</w:t>
            </w:r>
          </w:p>
        </w:tc>
      </w:tr>
      <w:tr>
        <w:tc>
          <w:p>
            <w:pPr>
              <w:pStyle w:val="Compact"/>
              <w:jc w:val="left"/>
            </w:pPr>
            <w:r>
              <w:t xml:space="preserve">2010</w:t>
            </w:r>
          </w:p>
        </w:tc>
        <w:tc>
          <w:p>
            <w:pPr>
              <w:pStyle w:val="Compact"/>
              <w:jc w:val="right"/>
            </w:pPr>
            <w:r>
              <w:t xml:space="preserve">4984</w:t>
            </w:r>
          </w:p>
        </w:tc>
        <w:tc>
          <w:p>
            <w:pPr>
              <w:pStyle w:val="Compact"/>
              <w:jc w:val="right"/>
            </w:pPr>
            <w:r>
              <w:t xml:space="preserve">23580.500</w:t>
            </w:r>
          </w:p>
        </w:tc>
        <w:tc>
          <w:p>
            <w:pPr>
              <w:pStyle w:val="Compact"/>
              <w:jc w:val="left"/>
            </w:pPr>
            <w:r>
              <w:t xml:space="preserve">2,203 (1,547)</w:t>
            </w:r>
          </w:p>
        </w:tc>
        <w:tc>
          <w:p>
            <w:pPr>
              <w:pStyle w:val="Compact"/>
              <w:jc w:val="left"/>
            </w:pPr>
            <w:r>
              <w:t xml:space="preserve">18 (13-26)</w:t>
            </w:r>
          </w:p>
        </w:tc>
      </w:tr>
      <w:tr>
        <w:tc>
          <w:p>
            <w:pPr>
              <w:pStyle w:val="Compact"/>
              <w:jc w:val="left"/>
            </w:pPr>
            <w:r>
              <w:t xml:space="preserve">2011</w:t>
            </w:r>
          </w:p>
        </w:tc>
        <w:tc>
          <w:p>
            <w:pPr>
              <w:pStyle w:val="Compact"/>
              <w:jc w:val="right"/>
            </w:pPr>
            <w:r>
              <w:t xml:space="preserve">4642</w:t>
            </w:r>
          </w:p>
        </w:tc>
        <w:tc>
          <w:p>
            <w:pPr>
              <w:pStyle w:val="Compact"/>
              <w:jc w:val="right"/>
            </w:pPr>
            <w:r>
              <w:t xml:space="preserve">22056.917</w:t>
            </w:r>
          </w:p>
        </w:tc>
        <w:tc>
          <w:p>
            <w:pPr>
              <w:pStyle w:val="Compact"/>
              <w:jc w:val="left"/>
            </w:pPr>
            <w:r>
              <w:t xml:space="preserve">1,997 (1,382)</w:t>
            </w:r>
          </w:p>
        </w:tc>
        <w:tc>
          <w:p>
            <w:pPr>
              <w:pStyle w:val="Compact"/>
              <w:jc w:val="left"/>
            </w:pPr>
            <w:r>
              <w:t xml:space="preserve">18 (13-24)</w:t>
            </w:r>
          </w:p>
        </w:tc>
      </w:tr>
      <w:tr>
        <w:tc>
          <w:p>
            <w:pPr>
              <w:pStyle w:val="Compact"/>
              <w:jc w:val="left"/>
            </w:pPr>
            <w:r>
              <w:t xml:space="preserve">2012</w:t>
            </w:r>
          </w:p>
        </w:tc>
        <w:tc>
          <w:p>
            <w:pPr>
              <w:pStyle w:val="Compact"/>
              <w:jc w:val="right"/>
            </w:pPr>
            <w:r>
              <w:t xml:space="preserve">4668</w:t>
            </w:r>
          </w:p>
        </w:tc>
        <w:tc>
          <w:p>
            <w:pPr>
              <w:pStyle w:val="Compact"/>
              <w:jc w:val="right"/>
            </w:pPr>
            <w:r>
              <w:t xml:space="preserve">20195.833</w:t>
            </w:r>
          </w:p>
        </w:tc>
        <w:tc>
          <w:p>
            <w:pPr>
              <w:pStyle w:val="Compact"/>
              <w:jc w:val="left"/>
            </w:pPr>
            <w:r>
              <w:t xml:space="preserve">2,057 (1,419)</w:t>
            </w:r>
          </w:p>
        </w:tc>
        <w:tc>
          <w:p>
            <w:pPr>
              <w:pStyle w:val="Compact"/>
              <w:jc w:val="left"/>
            </w:pPr>
            <w:r>
              <w:t xml:space="preserve">16 (12-23)</w:t>
            </w:r>
          </w:p>
        </w:tc>
      </w:tr>
      <w:tr>
        <w:tc>
          <w:p>
            <w:pPr>
              <w:pStyle w:val="Compact"/>
              <w:jc w:val="left"/>
            </w:pPr>
            <w:r>
              <w:t xml:space="preserve">2013</w:t>
            </w:r>
          </w:p>
        </w:tc>
        <w:tc>
          <w:p>
            <w:pPr>
              <w:pStyle w:val="Compact"/>
              <w:jc w:val="right"/>
            </w:pPr>
            <w:r>
              <w:t xml:space="preserve">4442</w:t>
            </w:r>
          </w:p>
        </w:tc>
        <w:tc>
          <w:p>
            <w:pPr>
              <w:pStyle w:val="Compact"/>
              <w:jc w:val="right"/>
            </w:pPr>
            <w:r>
              <w:t xml:space="preserve">14964.417</w:t>
            </w:r>
          </w:p>
        </w:tc>
        <w:tc>
          <w:p>
            <w:pPr>
              <w:pStyle w:val="Compact"/>
              <w:jc w:val="left"/>
            </w:pPr>
            <w:r>
              <w:t xml:space="preserve">1,642 (1,200)</w:t>
            </w:r>
          </w:p>
        </w:tc>
        <w:tc>
          <w:p>
            <w:pPr>
              <w:pStyle w:val="Compact"/>
              <w:jc w:val="left"/>
            </w:pPr>
            <w:r>
              <w:t xml:space="preserve">16 (13-23)</w:t>
            </w:r>
          </w:p>
        </w:tc>
      </w:tr>
      <w:tr>
        <w:tc>
          <w:p>
            <w:pPr>
              <w:pStyle w:val="Compact"/>
              <w:jc w:val="left"/>
            </w:pPr>
            <w:r>
              <w:t xml:space="preserve">2014</w:t>
            </w:r>
          </w:p>
        </w:tc>
        <w:tc>
          <w:p>
            <w:pPr>
              <w:pStyle w:val="Compact"/>
              <w:jc w:val="right"/>
            </w:pPr>
            <w:r>
              <w:t xml:space="preserve">4444</w:t>
            </w:r>
          </w:p>
        </w:tc>
        <w:tc>
          <w:p>
            <w:pPr>
              <w:pStyle w:val="Compact"/>
              <w:jc w:val="right"/>
            </w:pPr>
            <w:r>
              <w:t xml:space="preserve">10744.833</w:t>
            </w:r>
          </w:p>
        </w:tc>
        <w:tc>
          <w:p>
            <w:pPr>
              <w:pStyle w:val="Compact"/>
              <w:jc w:val="left"/>
            </w:pPr>
            <w:r>
              <w:t xml:space="preserve">1,582 (1,251)</w:t>
            </w:r>
          </w:p>
        </w:tc>
        <w:tc>
          <w:p>
            <w:pPr>
              <w:pStyle w:val="Compact"/>
              <w:jc w:val="left"/>
            </w:pPr>
            <w:r>
              <w:t xml:space="preserve">16 (13-20)</w:t>
            </w:r>
          </w:p>
        </w:tc>
      </w:tr>
      <w:tr>
        <w:tc>
          <w:p>
            <w:pPr>
              <w:pStyle w:val="Compact"/>
              <w:jc w:val="left"/>
            </w:pPr>
            <w:r>
              <w:t xml:space="preserve">2015</w:t>
            </w:r>
          </w:p>
        </w:tc>
        <w:tc>
          <w:p>
            <w:pPr>
              <w:pStyle w:val="Compact"/>
              <w:jc w:val="right"/>
            </w:pPr>
            <w:r>
              <w:t xml:space="preserve">4136</w:t>
            </w:r>
          </w:p>
        </w:tc>
        <w:tc>
          <w:p>
            <w:pPr>
              <w:pStyle w:val="Compact"/>
              <w:jc w:val="right"/>
            </w:pPr>
            <w:r>
              <w:t xml:space="preserve">5983.833</w:t>
            </w:r>
          </w:p>
        </w:tc>
        <w:tc>
          <w:p>
            <w:pPr>
              <w:pStyle w:val="Compact"/>
              <w:jc w:val="left"/>
            </w:pPr>
            <w:r>
              <w:t xml:space="preserve">756 (692)</w:t>
            </w:r>
          </w:p>
        </w:tc>
        <w:tc>
          <w:p>
            <w:pPr>
              <w:pStyle w:val="Compact"/>
              <w:jc w:val="left"/>
            </w:pPr>
            <w:r>
              <w:t xml:space="preserve">13 (11-15)</w:t>
            </w:r>
          </w:p>
        </w:tc>
      </w:tr>
    </w:tbl>
    <w:p>
      <w:pPr>
        <w:pStyle w:val="BodyText"/>
      </w:pPr>
      <w:r>
        <w:t xml:space="preserve">The crude incidence rate of tympanostomy tube placements in the vaccine eligible cohorts was 10.6 procedures per 100 person-years, which was significantly higher than the crude incidence rate in the vaccine non-eligible cohorts, 8.7 procedures per 100 person-years (IRR 1.20, 95%CI 1.17-1.24).</w:t>
      </w:r>
      <w:r>
        <w:t xml:space="preserve"> </w:t>
      </w:r>
      <w:r>
        <w:t xml:space="preserve">When stratified by age-groups, the crude incidence rate was highest among 12-17 month old children (Figure</w:t>
      </w:r>
      <w:r>
        <w:t xml:space="preserve"> </w:t>
      </w:r>
      <w:r>
        <w:t xml:space="preserve">1</w:t>
      </w:r>
      <w:r>
        <w:t xml:space="preserve">).</w:t>
      </w:r>
    </w:p>
    <w:p>
      <w:pPr>
        <w:pStyle w:val="FigureWithCaption"/>
      </w:pPr>
      <w:r>
        <w:drawing>
          <wp:inline>
            <wp:extent cx="5676900" cy="3783932"/>
            <wp:effectExtent b="0" l="0" r="0" t="0"/>
            <wp:docPr descr="Figure 1 Incidence of tympanostomy tube procedures by age-group and birth-cohort" title="" id="1" name="Picture"/>
            <a:graphic>
              <a:graphicData uri="http://schemas.openxmlformats.org/drawingml/2006/picture">
                <pic:pic>
                  <pic:nvPicPr>
                    <pic:cNvPr descr="_figures/paper_4/2018-11-28-incidence.png" id="0" name="Picture"/>
                    <pic:cNvPicPr>
                      <a:picLocks noChangeArrowheads="1" noChangeAspect="1"/>
                    </pic:cNvPicPr>
                  </pic:nvPicPr>
                  <pic:blipFill>
                    <a:blip r:embed="rId74"/>
                    <a:stretch>
                      <a:fillRect/>
                    </a:stretch>
                  </pic:blipFill>
                  <pic:spPr bwMode="auto">
                    <a:xfrm>
                      <a:off x="0" y="0"/>
                      <a:ext cx="5676900" cy="3783932"/>
                    </a:xfrm>
                    <a:prstGeom prst="rect">
                      <a:avLst/>
                    </a:prstGeom>
                    <a:noFill/>
                    <a:ln w="9525">
                      <a:noFill/>
                      <a:headEnd/>
                      <a:tailEnd/>
                    </a:ln>
                  </pic:spPr>
                </pic:pic>
              </a:graphicData>
            </a:graphic>
          </wp:inline>
        </w:drawing>
      </w:r>
    </w:p>
    <w:p>
      <w:pPr>
        <w:pStyle w:val="ImageCaption"/>
      </w:pPr>
      <w:r>
        <w:t xml:space="preserve">Figure 1 Incidence of tympanostomy tube procedures by age-group and birth-cohort</w:t>
      </w:r>
    </w:p>
    <w:p>
      <w:pPr>
        <w:pStyle w:val="BodyText"/>
      </w:pPr>
      <w:r>
        <w:t xml:space="preserve">The cumulative proportion of children who had undergone at least one tympanostomy tube placement by five years of age was higehst in birth-chort 2010 (31.7%) and lowest in birth-cohort 2006 (28.6%), Table</w:t>
      </w:r>
      <w:r>
        <w:t xml:space="preserve"> </w:t>
      </w:r>
      <w:r>
        <w:t xml:space="preserve">2</w:t>
      </w:r>
      <w:r>
        <w:t xml:space="preserve">.</w:t>
      </w:r>
      <w:r>
        <w:t xml:space="preserve"> </w:t>
      </w:r>
      <w:r>
        <w:t xml:space="preserve">The cumulative proportion of tympanostomy procedures significantly higher in the vaccine eligible birth-cohorts compared to vaccine non-eligible cohorts regardless of age (Figure</w:t>
      </w:r>
      <w:r>
        <w:t xml:space="preserve"> </w:t>
      </w:r>
      <w:r>
        <w:t xml:space="preserve">2</w:t>
      </w:r>
      <w:r>
        <w:t xml:space="preserve">).</w:t>
      </w:r>
    </w:p>
    <w:p>
      <w:pPr>
        <w:pStyle w:val="TableCaption"/>
      </w:pPr>
      <w:r>
        <w:t xml:space="preserve">Table 2 Demographic information regarding the study’s birth-cohorts</w:t>
      </w:r>
    </w:p>
    <w:tbl>
      <w:tblPr>
        <w:tblStyle w:val="TableNormal"/>
        <w:tblW w:type="pct" w:w="0.0"/>
        <w:tblLook w:firstRow="1"/>
        <w:tblCaption w:val="Table 2 Demographic information regarding the study’s birth-cohorts"/>
      </w:tblPr>
      <w:tblGrid/>
      <w:tr>
        <w:trPr>
          <w:cnfStyle w:firstRow="1"/>
        </w:trPr>
        <w:tc>
          <w:tcPr>
            <w:tcBorders>
              <w:bottom w:val="single"/>
            </w:tcBorders>
            <w:vAlign w:val="bottom"/>
          </w:tcPr>
          <w:p>
            <w:pPr>
              <w:pStyle w:val="Compact"/>
              <w:jc w:val="right"/>
            </w:pPr>
            <w:r>
              <w:t xml:space="preserve">Age (months)</w:t>
            </w:r>
          </w:p>
        </w:tc>
        <w:tc>
          <w:tcPr>
            <w:tcBorders>
              <w:bottom w:val="single"/>
            </w:tcBorders>
            <w:vAlign w:val="bottom"/>
          </w:tcPr>
          <w:p>
            <w:pPr>
              <w:pStyle w:val="Compact"/>
              <w:jc w:val="right"/>
            </w:pPr>
            <w:r>
              <w:t xml:space="preserve">2005</w:t>
            </w:r>
          </w:p>
        </w:tc>
        <w:tc>
          <w:tcPr>
            <w:tcBorders>
              <w:bottom w:val="single"/>
            </w:tcBorders>
            <w:vAlign w:val="bottom"/>
          </w:tcPr>
          <w:p>
            <w:pPr>
              <w:pStyle w:val="Compact"/>
              <w:jc w:val="right"/>
            </w:pPr>
            <w:r>
              <w:t xml:space="preserve">2006</w:t>
            </w:r>
          </w:p>
        </w:tc>
        <w:tc>
          <w:tcPr>
            <w:tcBorders>
              <w:bottom w:val="single"/>
            </w:tcBorders>
            <w:vAlign w:val="bottom"/>
          </w:tcPr>
          <w:p>
            <w:pPr>
              <w:pStyle w:val="Compact"/>
              <w:jc w:val="right"/>
            </w:pPr>
            <w:r>
              <w:t xml:space="preserve">2007</w:t>
            </w:r>
          </w:p>
        </w:tc>
        <w:tc>
          <w:tcPr>
            <w:tcBorders>
              <w:bottom w:val="single"/>
            </w:tcBorders>
            <w:vAlign w:val="bottom"/>
          </w:tcPr>
          <w:p>
            <w:pPr>
              <w:pStyle w:val="Compact"/>
              <w:jc w:val="right"/>
            </w:pPr>
            <w:r>
              <w:t xml:space="preserve">2008</w:t>
            </w:r>
          </w:p>
        </w:tc>
        <w:tc>
          <w:tcPr>
            <w:tcBorders>
              <w:bottom w:val="single"/>
            </w:tcBorders>
            <w:vAlign w:val="bottom"/>
          </w:tcPr>
          <w:p>
            <w:pPr>
              <w:pStyle w:val="Compact"/>
              <w:jc w:val="right"/>
            </w:pPr>
            <w:r>
              <w:t xml:space="preserve">2009</w:t>
            </w:r>
          </w:p>
        </w:tc>
        <w:tc>
          <w:tcPr>
            <w:tcBorders>
              <w:bottom w:val="single"/>
            </w:tcBorders>
            <w:vAlign w:val="bottom"/>
          </w:tcPr>
          <w:p>
            <w:pPr>
              <w:pStyle w:val="Compact"/>
              <w:jc w:val="right"/>
            </w:pPr>
            <w:r>
              <w:t xml:space="preserve">2010</w:t>
            </w:r>
          </w:p>
        </w:tc>
        <w:tc>
          <w:tcPr>
            <w:tcBorders>
              <w:bottom w:val="single"/>
            </w:tcBorders>
            <w:vAlign w:val="bottom"/>
          </w:tcPr>
          <w:p>
            <w:pPr>
              <w:pStyle w:val="Compact"/>
              <w:jc w:val="right"/>
            </w:pPr>
            <w:r>
              <w:t xml:space="preserve">2011</w:t>
            </w:r>
          </w:p>
        </w:tc>
        <w:tc>
          <w:tcPr>
            <w:tcBorders>
              <w:bottom w:val="single"/>
            </w:tcBorders>
            <w:vAlign w:val="bottom"/>
          </w:tcPr>
          <w:p>
            <w:pPr>
              <w:pStyle w:val="Compact"/>
              <w:jc w:val="right"/>
            </w:pPr>
            <w:r>
              <w:t xml:space="preserve">2012</w:t>
            </w:r>
          </w:p>
        </w:tc>
        <w:tc>
          <w:tcPr>
            <w:tcBorders>
              <w:bottom w:val="single"/>
            </w:tcBorders>
            <w:vAlign w:val="bottom"/>
          </w:tcPr>
          <w:p>
            <w:pPr>
              <w:pStyle w:val="Compact"/>
              <w:jc w:val="right"/>
            </w:pPr>
            <w:r>
              <w:t xml:space="preserve">2013</w:t>
            </w:r>
          </w:p>
        </w:tc>
        <w:tc>
          <w:tcPr>
            <w:tcBorders>
              <w:bottom w:val="single"/>
            </w:tcBorders>
            <w:vAlign w:val="bottom"/>
          </w:tcPr>
          <w:p>
            <w:pPr>
              <w:pStyle w:val="Compact"/>
              <w:jc w:val="right"/>
            </w:pPr>
            <w:r>
              <w:t xml:space="preserve">2014</w:t>
            </w:r>
          </w:p>
        </w:tc>
        <w:tc>
          <w:tcPr>
            <w:tcBorders>
              <w:bottom w:val="single"/>
            </w:tcBorders>
            <w:vAlign w:val="bottom"/>
          </w:tcPr>
          <w:p>
            <w:pPr>
              <w:pStyle w:val="Compact"/>
              <w:jc w:val="right"/>
            </w:pPr>
            <w:r>
              <w:t xml:space="preserve">2015</w:t>
            </w:r>
          </w:p>
        </w:tc>
      </w:tr>
      <w:tr>
        <w:tc>
          <w:p>
            <w:pPr>
              <w:pStyle w:val="Compact"/>
              <w:jc w:val="right"/>
            </w:pPr>
            <w:r>
              <w:t xml:space="preserve">6</w:t>
            </w:r>
          </w:p>
        </w:tc>
        <w:tc>
          <w:p>
            <w:pPr>
              <w:pStyle w:val="Compact"/>
              <w:jc w:val="right"/>
            </w:pPr>
            <w:r>
              <w:t xml:space="preserve">0.4</w:t>
            </w:r>
          </w:p>
        </w:tc>
        <w:tc>
          <w:p>
            <w:pPr>
              <w:pStyle w:val="Compact"/>
              <w:jc w:val="right"/>
            </w:pPr>
            <w:r>
              <w:t xml:space="preserve">0.3</w:t>
            </w:r>
          </w:p>
        </w:tc>
        <w:tc>
          <w:p>
            <w:pPr>
              <w:pStyle w:val="Compact"/>
              <w:jc w:val="right"/>
            </w:pPr>
            <w:r>
              <w:t xml:space="preserve">0.4</w:t>
            </w:r>
          </w:p>
        </w:tc>
        <w:tc>
          <w:p>
            <w:pPr>
              <w:pStyle w:val="Compact"/>
              <w:jc w:val="right"/>
            </w:pPr>
            <w:r>
              <w:t xml:space="preserve">0.2</w:t>
            </w:r>
          </w:p>
        </w:tc>
        <w:tc>
          <w:p>
            <w:pPr>
              <w:pStyle w:val="Compact"/>
              <w:jc w:val="right"/>
            </w:pPr>
            <w:r>
              <w:t xml:space="preserve">0.3</w:t>
            </w:r>
          </w:p>
        </w:tc>
        <w:tc>
          <w:p>
            <w:pPr>
              <w:pStyle w:val="Compact"/>
              <w:jc w:val="right"/>
            </w:pPr>
            <w:r>
              <w:t xml:space="preserve">0.1</w:t>
            </w:r>
          </w:p>
        </w:tc>
        <w:tc>
          <w:p>
            <w:pPr>
              <w:pStyle w:val="Compact"/>
              <w:jc w:val="right"/>
            </w:pPr>
            <w:r>
              <w:t xml:space="preserve">0.4</w:t>
            </w:r>
          </w:p>
        </w:tc>
        <w:tc>
          <w:p>
            <w:pPr>
              <w:pStyle w:val="Compact"/>
              <w:jc w:val="right"/>
            </w:pPr>
            <w:r>
              <w:t xml:space="preserve">0.2</w:t>
            </w:r>
          </w:p>
        </w:tc>
        <w:tc>
          <w:p>
            <w:pPr>
              <w:pStyle w:val="Compact"/>
              <w:jc w:val="right"/>
            </w:pPr>
            <w:r>
              <w:t xml:space="preserve">0.3</w:t>
            </w:r>
          </w:p>
        </w:tc>
        <w:tc>
          <w:p>
            <w:pPr>
              <w:pStyle w:val="Compact"/>
              <w:jc w:val="right"/>
            </w:pPr>
            <w:r>
              <w:t xml:space="preserve">0.2</w:t>
            </w:r>
          </w:p>
        </w:tc>
        <w:tc>
          <w:p>
            <w:pPr>
              <w:pStyle w:val="Compact"/>
              <w:jc w:val="right"/>
            </w:pPr>
            <w:r>
              <w:t xml:space="preserve">0.5</w:t>
            </w:r>
          </w:p>
        </w:tc>
      </w:tr>
      <w:tr>
        <w:tc>
          <w:p>
            <w:pPr>
              <w:pStyle w:val="Compact"/>
              <w:jc w:val="right"/>
            </w:pPr>
            <w:r>
              <w:t xml:space="preserve">12</w:t>
            </w:r>
          </w:p>
        </w:tc>
        <w:tc>
          <w:p>
            <w:pPr>
              <w:pStyle w:val="Compact"/>
              <w:jc w:val="right"/>
            </w:pPr>
            <w:r>
              <w:t xml:space="preserve">7.2</w:t>
            </w:r>
          </w:p>
        </w:tc>
        <w:tc>
          <w:p>
            <w:pPr>
              <w:pStyle w:val="Compact"/>
              <w:jc w:val="right"/>
            </w:pPr>
            <w:r>
              <w:t xml:space="preserve">7.1</w:t>
            </w:r>
          </w:p>
        </w:tc>
        <w:tc>
          <w:p>
            <w:pPr>
              <w:pStyle w:val="Compact"/>
              <w:jc w:val="right"/>
            </w:pPr>
            <w:r>
              <w:t xml:space="preserve">6.6</w:t>
            </w:r>
          </w:p>
        </w:tc>
        <w:tc>
          <w:p>
            <w:pPr>
              <w:pStyle w:val="Compact"/>
              <w:jc w:val="right"/>
            </w:pPr>
            <w:r>
              <w:t xml:space="preserve">7.2</w:t>
            </w:r>
          </w:p>
        </w:tc>
        <w:tc>
          <w:p>
            <w:pPr>
              <w:pStyle w:val="Compact"/>
              <w:jc w:val="right"/>
            </w:pPr>
            <w:r>
              <w:t xml:space="preserve">6.5</w:t>
            </w:r>
          </w:p>
        </w:tc>
        <w:tc>
          <w:p>
            <w:pPr>
              <w:pStyle w:val="Compact"/>
              <w:jc w:val="right"/>
            </w:pPr>
            <w:r>
              <w:t xml:space="preserve">6.6</w:t>
            </w:r>
          </w:p>
        </w:tc>
        <w:tc>
          <w:p>
            <w:pPr>
              <w:pStyle w:val="Compact"/>
              <w:jc w:val="right"/>
            </w:pPr>
            <w:r>
              <w:t xml:space="preserve">6.6</w:t>
            </w:r>
          </w:p>
        </w:tc>
        <w:tc>
          <w:p>
            <w:pPr>
              <w:pStyle w:val="Compact"/>
              <w:jc w:val="right"/>
            </w:pPr>
            <w:r>
              <w:t xml:space="preserve">7.8</w:t>
            </w:r>
          </w:p>
        </w:tc>
        <w:tc>
          <w:p>
            <w:pPr>
              <w:pStyle w:val="Compact"/>
              <w:jc w:val="right"/>
            </w:pPr>
            <w:r>
              <w:t xml:space="preserve">6.5</w:t>
            </w:r>
          </w:p>
        </w:tc>
        <w:tc>
          <w:p>
            <w:pPr>
              <w:pStyle w:val="Compact"/>
              <w:jc w:val="right"/>
            </w:pPr>
            <w:r>
              <w:t xml:space="preserve">6.9</w:t>
            </w:r>
          </w:p>
        </w:tc>
        <w:tc>
          <w:p>
            <w:pPr>
              <w:pStyle w:val="Compact"/>
              <w:jc w:val="right"/>
            </w:pPr>
            <w:r>
              <w:t xml:space="preserve">7.6</w:t>
            </w:r>
          </w:p>
        </w:tc>
      </w:tr>
      <w:tr>
        <w:tc>
          <w:p>
            <w:pPr>
              <w:pStyle w:val="Compact"/>
              <w:jc w:val="right"/>
            </w:pPr>
            <w:r>
              <w:t xml:space="preserve">18</w:t>
            </w:r>
          </w:p>
        </w:tc>
        <w:tc>
          <w:p>
            <w:pPr>
              <w:pStyle w:val="Compact"/>
              <w:jc w:val="right"/>
            </w:pPr>
            <w:r>
              <w:t xml:space="preserve">16.4</w:t>
            </w:r>
          </w:p>
        </w:tc>
        <w:tc>
          <w:p>
            <w:pPr>
              <w:pStyle w:val="Compact"/>
              <w:jc w:val="right"/>
            </w:pPr>
            <w:r>
              <w:t xml:space="preserve">14.8</w:t>
            </w:r>
          </w:p>
        </w:tc>
        <w:tc>
          <w:p>
            <w:pPr>
              <w:pStyle w:val="Compact"/>
              <w:jc w:val="right"/>
            </w:pPr>
            <w:r>
              <w:t xml:space="preserve">14.9</w:t>
            </w:r>
          </w:p>
        </w:tc>
        <w:tc>
          <w:p>
            <w:pPr>
              <w:pStyle w:val="Compact"/>
              <w:jc w:val="right"/>
            </w:pPr>
            <w:r>
              <w:t xml:space="preserve">15.9</w:t>
            </w:r>
          </w:p>
        </w:tc>
        <w:tc>
          <w:p>
            <w:pPr>
              <w:pStyle w:val="Compact"/>
              <w:jc w:val="right"/>
            </w:pPr>
            <w:r>
              <w:t xml:space="preserve">15.7</w:t>
            </w:r>
          </w:p>
        </w:tc>
        <w:tc>
          <w:p>
            <w:pPr>
              <w:pStyle w:val="Compact"/>
              <w:jc w:val="right"/>
            </w:pPr>
            <w:r>
              <w:t xml:space="preserve">16.5</w:t>
            </w:r>
          </w:p>
        </w:tc>
        <w:tc>
          <w:p>
            <w:pPr>
              <w:pStyle w:val="Compact"/>
              <w:jc w:val="right"/>
            </w:pPr>
            <w:r>
              <w:t xml:space="preserve">16.3</w:t>
            </w:r>
          </w:p>
        </w:tc>
        <w:tc>
          <w:p>
            <w:pPr>
              <w:pStyle w:val="Compact"/>
              <w:jc w:val="right"/>
            </w:pPr>
            <w:r>
              <w:t xml:space="preserve">18.3</w:t>
            </w:r>
          </w:p>
        </w:tc>
        <w:tc>
          <w:p>
            <w:pPr>
              <w:pStyle w:val="Compact"/>
              <w:jc w:val="right"/>
            </w:pPr>
            <w:r>
              <w:t xml:space="preserve">16.3</w:t>
            </w:r>
          </w:p>
        </w:tc>
        <w:tc>
          <w:p>
            <w:pPr>
              <w:pStyle w:val="Compact"/>
              <w:jc w:val="right"/>
            </w:pPr>
            <w:r>
              <w:t xml:space="preserve">19.1</w:t>
            </w:r>
          </w:p>
        </w:tc>
        <w:tc>
          <w:p>
            <w:pPr>
              <w:pStyle w:val="Compact"/>
              <w:jc w:val="right"/>
            </w:pPr>
            <w:r>
              <w:t xml:space="preserve">18.4</w:t>
            </w:r>
          </w:p>
        </w:tc>
      </w:tr>
      <w:tr>
        <w:tc>
          <w:p>
            <w:pPr>
              <w:pStyle w:val="Compact"/>
              <w:jc w:val="right"/>
            </w:pPr>
            <w:r>
              <w:t xml:space="preserve">24</w:t>
            </w:r>
          </w:p>
        </w:tc>
        <w:tc>
          <w:p>
            <w:pPr>
              <w:pStyle w:val="Compact"/>
              <w:jc w:val="right"/>
            </w:pPr>
            <w:r>
              <w:t xml:space="preserve">21.1</w:t>
            </w:r>
          </w:p>
        </w:tc>
        <w:tc>
          <w:p>
            <w:pPr>
              <w:pStyle w:val="Compact"/>
              <w:jc w:val="right"/>
            </w:pPr>
            <w:r>
              <w:t xml:space="preserve">19.5</w:t>
            </w:r>
          </w:p>
        </w:tc>
        <w:tc>
          <w:p>
            <w:pPr>
              <w:pStyle w:val="Compact"/>
              <w:jc w:val="right"/>
            </w:pPr>
            <w:r>
              <w:t xml:space="preserve">19.7</w:t>
            </w:r>
          </w:p>
        </w:tc>
        <w:tc>
          <w:p>
            <w:pPr>
              <w:pStyle w:val="Compact"/>
              <w:jc w:val="right"/>
            </w:pPr>
            <w:r>
              <w:t xml:space="preserve">21.0</w:t>
            </w:r>
          </w:p>
        </w:tc>
        <w:tc>
          <w:p>
            <w:pPr>
              <w:pStyle w:val="Compact"/>
              <w:jc w:val="right"/>
            </w:pPr>
            <w:r>
              <w:t xml:space="preserve">22.0</w:t>
            </w:r>
          </w:p>
        </w:tc>
        <w:tc>
          <w:p>
            <w:pPr>
              <w:pStyle w:val="Compact"/>
              <w:jc w:val="right"/>
            </w:pPr>
            <w:r>
              <w:t xml:space="preserve">22.4</w:t>
            </w:r>
          </w:p>
        </w:tc>
        <w:tc>
          <w:p>
            <w:pPr>
              <w:pStyle w:val="Compact"/>
              <w:jc w:val="right"/>
            </w:pPr>
            <w:r>
              <w:t xml:space="preserve">23.3</w:t>
            </w:r>
          </w:p>
        </w:tc>
        <w:tc>
          <w:p>
            <w:pPr>
              <w:pStyle w:val="Compact"/>
              <w:jc w:val="right"/>
            </w:pPr>
            <w:r>
              <w:t xml:space="preserve">23.9</w:t>
            </w:r>
          </w:p>
        </w:tc>
        <w:tc>
          <w:p>
            <w:pPr>
              <w:pStyle w:val="Compact"/>
              <w:jc w:val="right"/>
            </w:pPr>
            <w:r>
              <w:t xml:space="preserve">21.7</w:t>
            </w:r>
          </w:p>
        </w:tc>
        <w:tc>
          <w:p>
            <w:pPr>
              <w:pStyle w:val="Compact"/>
              <w:jc w:val="right"/>
            </w:pPr>
            <w:r>
              <w:t xml:space="preserve">26.1</w:t>
            </w:r>
          </w:p>
        </w:tc>
        <w:tc>
          <w:p>
            <w:pPr>
              <w:pStyle w:val="Compact"/>
              <w:jc w:val="right"/>
            </w:pPr>
            <w:r>
              <w:t xml:space="preserve">-</w:t>
            </w:r>
          </w:p>
        </w:tc>
      </w:tr>
      <w:tr>
        <w:tc>
          <w:p>
            <w:pPr>
              <w:pStyle w:val="Compact"/>
              <w:jc w:val="right"/>
            </w:pPr>
            <w:r>
              <w:t xml:space="preserve">30</w:t>
            </w:r>
          </w:p>
        </w:tc>
        <w:tc>
          <w:p>
            <w:pPr>
              <w:pStyle w:val="Compact"/>
              <w:jc w:val="right"/>
            </w:pPr>
            <w:r>
              <w:t xml:space="preserve">23.7</w:t>
            </w:r>
          </w:p>
        </w:tc>
        <w:tc>
          <w:p>
            <w:pPr>
              <w:pStyle w:val="Compact"/>
              <w:jc w:val="right"/>
            </w:pPr>
            <w:r>
              <w:t xml:space="preserve">22.9</w:t>
            </w:r>
          </w:p>
        </w:tc>
        <w:tc>
          <w:p>
            <w:pPr>
              <w:pStyle w:val="Compact"/>
              <w:jc w:val="right"/>
            </w:pPr>
            <w:r>
              <w:t xml:space="preserve">23.4</w:t>
            </w:r>
          </w:p>
        </w:tc>
        <w:tc>
          <w:p>
            <w:pPr>
              <w:pStyle w:val="Compact"/>
              <w:jc w:val="right"/>
            </w:pPr>
            <w:r>
              <w:t xml:space="preserve">24.5</w:t>
            </w:r>
          </w:p>
        </w:tc>
        <w:tc>
          <w:p>
            <w:pPr>
              <w:pStyle w:val="Compact"/>
              <w:jc w:val="right"/>
            </w:pPr>
            <w:r>
              <w:t xml:space="preserve">25.1</w:t>
            </w:r>
          </w:p>
        </w:tc>
        <w:tc>
          <w:p>
            <w:pPr>
              <w:pStyle w:val="Compact"/>
              <w:jc w:val="right"/>
            </w:pPr>
            <w:r>
              <w:t xml:space="preserve">26.3</w:t>
            </w:r>
          </w:p>
        </w:tc>
        <w:tc>
          <w:p>
            <w:pPr>
              <w:pStyle w:val="Compact"/>
              <w:jc w:val="right"/>
            </w:pPr>
            <w:r>
              <w:t xml:space="preserve">26.3</w:t>
            </w:r>
          </w:p>
        </w:tc>
        <w:tc>
          <w:p>
            <w:pPr>
              <w:pStyle w:val="Compact"/>
              <w:jc w:val="right"/>
            </w:pPr>
            <w:r>
              <w:t xml:space="preserve">26.7</w:t>
            </w:r>
          </w:p>
        </w:tc>
        <w:tc>
          <w:p>
            <w:pPr>
              <w:pStyle w:val="Compact"/>
              <w:jc w:val="right"/>
            </w:pPr>
            <w:r>
              <w:t xml:space="preserve">24.9</w:t>
            </w:r>
          </w:p>
        </w:tc>
        <w:tc>
          <w:p>
            <w:pPr>
              <w:pStyle w:val="Compact"/>
              <w:jc w:val="right"/>
            </w:pPr>
            <w:r>
              <w:t xml:space="preserve">29.0</w:t>
            </w:r>
          </w:p>
        </w:tc>
        <w:tc>
          <w:p>
            <w:pPr>
              <w:pStyle w:val="Compact"/>
              <w:jc w:val="right"/>
            </w:pPr>
            <w:r>
              <w:t xml:space="preserve">-</w:t>
            </w:r>
          </w:p>
        </w:tc>
      </w:tr>
      <w:tr>
        <w:tc>
          <w:p>
            <w:pPr>
              <w:pStyle w:val="Compact"/>
              <w:jc w:val="right"/>
            </w:pPr>
            <w:r>
              <w:t xml:space="preserve">36</w:t>
            </w:r>
          </w:p>
        </w:tc>
        <w:tc>
          <w:p>
            <w:pPr>
              <w:pStyle w:val="Compact"/>
              <w:jc w:val="right"/>
            </w:pPr>
            <w:r>
              <w:t xml:space="preserve">25.8</w:t>
            </w:r>
          </w:p>
        </w:tc>
        <w:tc>
          <w:p>
            <w:pPr>
              <w:pStyle w:val="Compact"/>
              <w:jc w:val="right"/>
            </w:pPr>
            <w:r>
              <w:t xml:space="preserve">24.8</w:t>
            </w:r>
          </w:p>
        </w:tc>
        <w:tc>
          <w:p>
            <w:pPr>
              <w:pStyle w:val="Compact"/>
              <w:jc w:val="right"/>
            </w:pPr>
            <w:r>
              <w:t xml:space="preserve">25.3</w:t>
            </w:r>
          </w:p>
        </w:tc>
        <w:tc>
          <w:p>
            <w:pPr>
              <w:pStyle w:val="Compact"/>
              <w:jc w:val="right"/>
            </w:pPr>
            <w:r>
              <w:t xml:space="preserve">26.5</w:t>
            </w:r>
          </w:p>
        </w:tc>
        <w:tc>
          <w:p>
            <w:pPr>
              <w:pStyle w:val="Compact"/>
              <w:jc w:val="right"/>
            </w:pPr>
            <w:r>
              <w:t xml:space="preserve">27.2</w:t>
            </w:r>
          </w:p>
        </w:tc>
        <w:tc>
          <w:p>
            <w:pPr>
              <w:pStyle w:val="Compact"/>
              <w:jc w:val="right"/>
            </w:pPr>
            <w:r>
              <w:t xml:space="preserve">28.8</w:t>
            </w:r>
          </w:p>
        </w:tc>
        <w:tc>
          <w:p>
            <w:pPr>
              <w:pStyle w:val="Compact"/>
              <w:jc w:val="right"/>
            </w:pPr>
            <w:r>
              <w:t xml:space="preserve">27.9</w:t>
            </w:r>
          </w:p>
        </w:tc>
        <w:tc>
          <w:p>
            <w:pPr>
              <w:pStyle w:val="Compact"/>
              <w:jc w:val="right"/>
            </w:pPr>
            <w:r>
              <w:t xml:space="preserve">28.3</w:t>
            </w:r>
          </w:p>
        </w:tc>
        <w:tc>
          <w:p>
            <w:pPr>
              <w:pStyle w:val="Compact"/>
              <w:jc w:val="right"/>
            </w:pPr>
            <w:r>
              <w:t xml:space="preserve">26.9</w:t>
            </w:r>
          </w:p>
        </w:tc>
        <w:tc>
          <w:p>
            <w:pPr>
              <w:pStyle w:val="Compact"/>
              <w:jc w:val="right"/>
            </w:pPr>
            <w:r>
              <w:t xml:space="preserve">-</w:t>
            </w:r>
          </w:p>
        </w:tc>
        <w:tc>
          <w:p>
            <w:pPr>
              <w:pStyle w:val="Compact"/>
              <w:jc w:val="right"/>
            </w:pPr>
            <w:r>
              <w:t xml:space="preserve">-</w:t>
            </w:r>
          </w:p>
        </w:tc>
      </w:tr>
      <w:tr>
        <w:tc>
          <w:p>
            <w:pPr>
              <w:pStyle w:val="Compact"/>
              <w:jc w:val="right"/>
            </w:pPr>
            <w:r>
              <w:t xml:space="preserve">42</w:t>
            </w:r>
          </w:p>
        </w:tc>
        <w:tc>
          <w:p>
            <w:pPr>
              <w:pStyle w:val="Compact"/>
              <w:jc w:val="right"/>
            </w:pPr>
            <w:r>
              <w:t xml:space="preserve">26.9</w:t>
            </w:r>
          </w:p>
        </w:tc>
        <w:tc>
          <w:p>
            <w:pPr>
              <w:pStyle w:val="Compact"/>
              <w:jc w:val="right"/>
            </w:pPr>
            <w:r>
              <w:t xml:space="preserve">26.5</w:t>
            </w:r>
          </w:p>
        </w:tc>
        <w:tc>
          <w:p>
            <w:pPr>
              <w:pStyle w:val="Compact"/>
              <w:jc w:val="right"/>
            </w:pPr>
            <w:r>
              <w:t xml:space="preserve">26.7</w:t>
            </w:r>
          </w:p>
        </w:tc>
        <w:tc>
          <w:p>
            <w:pPr>
              <w:pStyle w:val="Compact"/>
              <w:jc w:val="right"/>
            </w:pPr>
            <w:r>
              <w:t xml:space="preserve">27.7</w:t>
            </w:r>
          </w:p>
        </w:tc>
        <w:tc>
          <w:p>
            <w:pPr>
              <w:pStyle w:val="Compact"/>
              <w:jc w:val="right"/>
            </w:pPr>
            <w:r>
              <w:t xml:space="preserve">28.5</w:t>
            </w:r>
          </w:p>
        </w:tc>
        <w:tc>
          <w:p>
            <w:pPr>
              <w:pStyle w:val="Compact"/>
              <w:jc w:val="right"/>
            </w:pPr>
            <w:r>
              <w:t xml:space="preserve">30.1</w:t>
            </w:r>
          </w:p>
        </w:tc>
        <w:tc>
          <w:p>
            <w:pPr>
              <w:pStyle w:val="Compact"/>
              <w:jc w:val="right"/>
            </w:pPr>
            <w:r>
              <w:t xml:space="preserve">28.7</w:t>
            </w:r>
          </w:p>
        </w:tc>
        <w:tc>
          <w:p>
            <w:pPr>
              <w:pStyle w:val="Compact"/>
              <w:jc w:val="right"/>
            </w:pPr>
            <w:r>
              <w:t xml:space="preserve">29.5</w:t>
            </w:r>
          </w:p>
        </w:tc>
        <w:tc>
          <w:p>
            <w:pPr>
              <w:pStyle w:val="Compact"/>
              <w:jc w:val="right"/>
            </w:pPr>
            <w:r>
              <w:t xml:space="preserve">27.5</w:t>
            </w:r>
          </w:p>
        </w:tc>
        <w:tc>
          <w:p>
            <w:pPr>
              <w:pStyle w:val="Compact"/>
              <w:jc w:val="right"/>
            </w:pPr>
            <w:r>
              <w:t xml:space="preserve">-</w:t>
            </w:r>
          </w:p>
        </w:tc>
        <w:tc>
          <w:p>
            <w:pPr>
              <w:pStyle w:val="Compact"/>
              <w:jc w:val="right"/>
            </w:pPr>
            <w:r>
              <w:t xml:space="preserve">-</w:t>
            </w:r>
          </w:p>
        </w:tc>
      </w:tr>
      <w:tr>
        <w:tc>
          <w:p>
            <w:pPr>
              <w:pStyle w:val="Compact"/>
              <w:jc w:val="right"/>
            </w:pPr>
            <w:r>
              <w:t xml:space="preserve">48</w:t>
            </w:r>
          </w:p>
        </w:tc>
        <w:tc>
          <w:p>
            <w:pPr>
              <w:pStyle w:val="Compact"/>
              <w:jc w:val="right"/>
            </w:pPr>
            <w:r>
              <w:t xml:space="preserve">27.8</w:t>
            </w:r>
          </w:p>
        </w:tc>
        <w:tc>
          <w:p>
            <w:pPr>
              <w:pStyle w:val="Compact"/>
              <w:jc w:val="right"/>
            </w:pPr>
            <w:r>
              <w:t xml:space="preserve">27.4</w:t>
            </w:r>
          </w:p>
        </w:tc>
        <w:tc>
          <w:p>
            <w:pPr>
              <w:pStyle w:val="Compact"/>
              <w:jc w:val="right"/>
            </w:pPr>
            <w:r>
              <w:t xml:space="preserve">27.8</w:t>
            </w:r>
          </w:p>
        </w:tc>
        <w:tc>
          <w:p>
            <w:pPr>
              <w:pStyle w:val="Compact"/>
              <w:jc w:val="right"/>
            </w:pPr>
            <w:r>
              <w:t xml:space="preserve">28.5</w:t>
            </w:r>
          </w:p>
        </w:tc>
        <w:tc>
          <w:p>
            <w:pPr>
              <w:pStyle w:val="Compact"/>
              <w:jc w:val="right"/>
            </w:pPr>
            <w:r>
              <w:t xml:space="preserve">29.1</w:t>
            </w:r>
          </w:p>
        </w:tc>
        <w:tc>
          <w:p>
            <w:pPr>
              <w:pStyle w:val="Compact"/>
              <w:jc w:val="right"/>
            </w:pPr>
            <w:r>
              <w:t xml:space="preserve">31.0</w:t>
            </w:r>
          </w:p>
        </w:tc>
        <w:tc>
          <w:p>
            <w:pPr>
              <w:pStyle w:val="Compact"/>
              <w:jc w:val="right"/>
            </w:pPr>
            <w:r>
              <w:t xml:space="preserve">29.4</w:t>
            </w:r>
          </w:p>
        </w:tc>
        <w:tc>
          <w:p>
            <w:pPr>
              <w:pStyle w:val="Compact"/>
              <w:jc w:val="right"/>
            </w:pPr>
            <w:r>
              <w:t xml:space="preserve">30.4</w:t>
            </w:r>
          </w:p>
        </w:tc>
        <w:tc>
          <w:p>
            <w:pPr>
              <w:pStyle w:val="Compact"/>
              <w:jc w:val="right"/>
            </w:pPr>
            <w:r>
              <w:t xml:space="preserve">-</w:t>
            </w:r>
          </w:p>
        </w:tc>
        <w:tc>
          <w:p>
            <w:pPr>
              <w:pStyle w:val="Compact"/>
              <w:jc w:val="right"/>
            </w:pPr>
            <w:r>
              <w:t xml:space="preserve">-</w:t>
            </w:r>
          </w:p>
        </w:tc>
        <w:tc>
          <w:p>
            <w:pPr>
              <w:pStyle w:val="Compact"/>
              <w:jc w:val="right"/>
            </w:pPr>
            <w:r>
              <w:t xml:space="preserve">-</w:t>
            </w:r>
          </w:p>
        </w:tc>
      </w:tr>
      <w:tr>
        <w:tc>
          <w:p>
            <w:pPr>
              <w:pStyle w:val="Compact"/>
              <w:jc w:val="right"/>
            </w:pPr>
            <w:r>
              <w:t xml:space="preserve">54</w:t>
            </w:r>
          </w:p>
        </w:tc>
        <w:tc>
          <w:p>
            <w:pPr>
              <w:pStyle w:val="Compact"/>
              <w:jc w:val="right"/>
            </w:pPr>
            <w:r>
              <w:t xml:space="preserve">28.4</w:t>
            </w:r>
          </w:p>
        </w:tc>
        <w:tc>
          <w:p>
            <w:pPr>
              <w:pStyle w:val="Compact"/>
              <w:jc w:val="right"/>
            </w:pPr>
            <w:r>
              <w:t xml:space="preserve">28.3</w:t>
            </w:r>
          </w:p>
        </w:tc>
        <w:tc>
          <w:p>
            <w:pPr>
              <w:pStyle w:val="Compact"/>
              <w:jc w:val="right"/>
            </w:pPr>
            <w:r>
              <w:t xml:space="preserve">28.4</w:t>
            </w:r>
          </w:p>
        </w:tc>
        <w:tc>
          <w:p>
            <w:pPr>
              <w:pStyle w:val="Compact"/>
              <w:jc w:val="right"/>
            </w:pPr>
            <w:r>
              <w:t xml:space="preserve">29.1</w:t>
            </w:r>
          </w:p>
        </w:tc>
        <w:tc>
          <w:p>
            <w:pPr>
              <w:pStyle w:val="Compact"/>
              <w:jc w:val="right"/>
            </w:pPr>
            <w:r>
              <w:t xml:space="preserve">29.9</w:t>
            </w:r>
          </w:p>
        </w:tc>
        <w:tc>
          <w:p>
            <w:pPr>
              <w:pStyle w:val="Compact"/>
              <w:jc w:val="right"/>
            </w:pPr>
            <w:r>
              <w:t xml:space="preserve">31.4</w:t>
            </w:r>
          </w:p>
        </w:tc>
        <w:tc>
          <w:p>
            <w:pPr>
              <w:pStyle w:val="Compact"/>
              <w:jc w:val="right"/>
            </w:pPr>
            <w:r>
              <w:t xml:space="preserve">30.1</w:t>
            </w:r>
          </w:p>
        </w:tc>
        <w:tc>
          <w:p>
            <w:pPr>
              <w:pStyle w:val="Compact"/>
              <w:jc w:val="right"/>
            </w:pPr>
            <w:r>
              <w:t xml:space="preserve">30.9</w:t>
            </w:r>
          </w:p>
        </w:tc>
        <w:tc>
          <w:p>
            <w:pPr>
              <w:pStyle w:val="Compact"/>
              <w:jc w:val="right"/>
            </w:pPr>
            <w:r>
              <w:t xml:space="preserve">-</w:t>
            </w:r>
          </w:p>
        </w:tc>
        <w:tc>
          <w:p>
            <w:pPr>
              <w:pStyle w:val="Compact"/>
              <w:jc w:val="right"/>
            </w:pPr>
            <w:r>
              <w:t xml:space="preserve">-</w:t>
            </w:r>
          </w:p>
        </w:tc>
        <w:tc>
          <w:p>
            <w:pPr>
              <w:pStyle w:val="Compact"/>
              <w:jc w:val="right"/>
            </w:pPr>
            <w:r>
              <w:t xml:space="preserve">-</w:t>
            </w:r>
          </w:p>
        </w:tc>
      </w:tr>
      <w:tr>
        <w:tc>
          <w:p>
            <w:pPr>
              <w:pStyle w:val="Compact"/>
              <w:jc w:val="right"/>
            </w:pPr>
            <w:r>
              <w:t xml:space="preserve">59</w:t>
            </w:r>
          </w:p>
        </w:tc>
        <w:tc>
          <w:p>
            <w:pPr>
              <w:pStyle w:val="Compact"/>
              <w:jc w:val="right"/>
            </w:pPr>
            <w:r>
              <w:t xml:space="preserve">28.8</w:t>
            </w:r>
          </w:p>
        </w:tc>
        <w:tc>
          <w:p>
            <w:pPr>
              <w:pStyle w:val="Compact"/>
              <w:jc w:val="right"/>
            </w:pPr>
            <w:r>
              <w:t xml:space="preserve">28.6</w:t>
            </w:r>
          </w:p>
        </w:tc>
        <w:tc>
          <w:p>
            <w:pPr>
              <w:pStyle w:val="Compact"/>
              <w:jc w:val="right"/>
            </w:pPr>
            <w:r>
              <w:t xml:space="preserve">28.6</w:t>
            </w:r>
          </w:p>
        </w:tc>
        <w:tc>
          <w:p>
            <w:pPr>
              <w:pStyle w:val="Compact"/>
              <w:jc w:val="right"/>
            </w:pPr>
            <w:r>
              <w:t xml:space="preserve">29.5</w:t>
            </w:r>
          </w:p>
        </w:tc>
        <w:tc>
          <w:p>
            <w:pPr>
              <w:pStyle w:val="Compact"/>
              <w:jc w:val="right"/>
            </w:pPr>
            <w:r>
              <w:t xml:space="preserve">30.2</w:t>
            </w:r>
          </w:p>
        </w:tc>
        <w:tc>
          <w:p>
            <w:pPr>
              <w:pStyle w:val="Compact"/>
              <w:jc w:val="right"/>
            </w:pPr>
            <w:r>
              <w:t xml:space="preserve">31.7</w:t>
            </w:r>
          </w:p>
        </w:tc>
        <w:tc>
          <w:p>
            <w:pPr>
              <w:pStyle w:val="Compact"/>
              <w:jc w:val="right"/>
            </w:pPr>
            <w:r>
              <w:t xml:space="preserve">30.4</w:t>
            </w:r>
          </w:p>
        </w:tc>
        <w:tc>
          <w:p>
            <w:pPr>
              <w:pStyle w:val="Compact"/>
              <w:jc w:val="right"/>
            </w:pPr>
            <w:r>
              <w:t xml:space="preserve">31.3</w:t>
            </w:r>
          </w:p>
        </w:tc>
        <w:tc>
          <w:p>
            <w:pPr>
              <w:pStyle w:val="Compact"/>
              <w:jc w:val="right"/>
            </w:pPr>
            <w:r>
              <w:t xml:space="preserve">-</w:t>
            </w:r>
          </w:p>
        </w:tc>
        <w:tc>
          <w:p>
            <w:pPr>
              <w:pStyle w:val="Compact"/>
              <w:jc w:val="right"/>
            </w:pPr>
            <w:r>
              <w:t xml:space="preserve">-</w:t>
            </w:r>
          </w:p>
        </w:tc>
        <w:tc>
          <w:p>
            <w:pPr>
              <w:pStyle w:val="Compact"/>
              <w:jc w:val="right"/>
            </w:pPr>
            <w:r>
              <w:t xml:space="preserve">-</w:t>
            </w:r>
          </w:p>
        </w:tc>
      </w:tr>
    </w:tbl>
    <w:p>
      <w:pPr>
        <w:pStyle w:val="FigureWithCaption"/>
      </w:pPr>
      <w:r>
        <w:drawing>
          <wp:inline>
            <wp:extent cx="5676900" cy="3783932"/>
            <wp:effectExtent b="0" l="0" r="0" t="0"/>
            <wp:docPr descr="Figure 2 Cumulative proportion of children who underwent at least one tympanostomy tube placement for the vaccine eligible (VEC) and vaccine non-eligible (VNEC) cohorts" title="" id="1" name="Picture"/>
            <a:graphic>
              <a:graphicData uri="http://schemas.openxmlformats.org/drawingml/2006/picture">
                <pic:pic>
                  <pic:nvPicPr>
                    <pic:cNvPr descr="_figures/paper_4/2018-11-28-cumulative-event.png" id="0" name="Picture"/>
                    <pic:cNvPicPr>
                      <a:picLocks noChangeArrowheads="1" noChangeAspect="1"/>
                    </pic:cNvPicPr>
                  </pic:nvPicPr>
                  <pic:blipFill>
                    <a:blip r:embed="rId75"/>
                    <a:stretch>
                      <a:fillRect/>
                    </a:stretch>
                  </pic:blipFill>
                  <pic:spPr bwMode="auto">
                    <a:xfrm>
                      <a:off x="0" y="0"/>
                      <a:ext cx="5676900" cy="3783932"/>
                    </a:xfrm>
                    <a:prstGeom prst="rect">
                      <a:avLst/>
                    </a:prstGeom>
                    <a:noFill/>
                    <a:ln w="9525">
                      <a:noFill/>
                      <a:headEnd/>
                      <a:tailEnd/>
                    </a:ln>
                  </pic:spPr>
                </pic:pic>
              </a:graphicData>
            </a:graphic>
          </wp:inline>
        </w:drawing>
      </w:r>
    </w:p>
    <w:p>
      <w:pPr>
        <w:pStyle w:val="ImageCaption"/>
      </w:pPr>
      <w:r>
        <w:t xml:space="preserve">Figure 2 Cumulative proportion of children who underwent at least one tympanostomy tube placement for the vaccine eligible (VEC) and vaccine non-eligible (VNEC) cohorts</w:t>
      </w:r>
    </w:p>
    <w:p>
      <w:pPr>
        <w:pStyle w:val="BodyText"/>
      </w:pPr>
      <w:r>
        <w:t xml:space="preserve">In the subset of children who underwent tympanostomy tube placement, the mean (median) number of otitis media associated visits to primary care or the paediatric emergency department was 2.05 (2) visits in the vaccine non-eligible cohorts, compared to 1.72 (1) visits in the vaccine eligible cohorts.</w:t>
      </w:r>
      <w:r>
        <w:t xml:space="preserve"> </w:t>
      </w:r>
      <w:r>
        <w:t xml:space="preserve">The distribution in the number of previous visits was significantly different between the VNEC and VEC (Chi-Squared test statistic 63.8, P&lt;.001).</w:t>
      </w:r>
      <w:r>
        <w:t xml:space="preserve"> </w:t>
      </w:r>
      <w:r>
        <w:t xml:space="preserve">The proportion of children who did not have a single recorded visit prior to undergoing the procedure increased from 20.6% in the VNEC to 28.9% in the VEC, RR 1.40 (95%CI 1.28-1.54).</w:t>
      </w:r>
      <w:r>
        <w:t xml:space="preserve"> </w:t>
      </w:r>
      <w:r>
        <w:t xml:space="preserve">Children in the vaccine eligible cohorts had received significantly fewer antimicrobial prescriptions prior to undergoing the procedure (Chi-Squared test statistic 53.6, P&lt;.001).</w:t>
      </w:r>
      <w:r>
        <w:t xml:space="preserve"> </w:t>
      </w:r>
      <w:r>
        <w:t xml:space="preserve">The mean (median) number of previous antimicrobial prescriptions was 3.19 (4) in the vaccine eligible cohorts compared to 3.62 (4) in the vaccine non-eligible cohorts.</w:t>
      </w:r>
      <w:r>
        <w:t xml:space="preserve"> </w:t>
      </w:r>
      <w:r>
        <w:t xml:space="preserve">Children in the VEC were more likely to have never been prescribed antimicrobials prior to undergoing tympanostomy placement, RR 1.52, 95%CI 1.18-1.96).</w:t>
      </w:r>
      <w:r>
        <w:t xml:space="preserve"> </w:t>
      </w:r>
      <w:r>
        <w:t xml:space="preserve">The comparison between VEC and VNEC is summarized in Table</w:t>
      </w:r>
      <w:r>
        <w:t xml:space="preserve"> </w:t>
      </w:r>
      <w:r>
        <w:t xml:space="preserve">3</w:t>
      </w:r>
      <w:r>
        <w:t xml:space="preserve">.</w:t>
      </w:r>
    </w:p>
    <w:p>
      <w:pPr>
        <w:pStyle w:val="TableCaption"/>
      </w:pPr>
      <w:r>
        <w:t xml:space="preserve">Table 3 Incidence rate and number of outpatient antimicrobial prescriptions by birth-cohort and gender</w:t>
      </w:r>
    </w:p>
    <w:tbl>
      <w:tblPr>
        <w:tblStyle w:val="TableNormal"/>
        <w:tblW w:type="pct" w:w="0.0"/>
        <w:tblLook w:firstRow="1"/>
        <w:tblCaption w:val="Table 3 Incidence rate and number of outpatient antimicrobial prescriptions by birth-cohort and gender"/>
      </w:tblPr>
      <w:tblGrid/>
      <w:tr>
        <w:trPr>
          <w:cnfStyle w:firstRow="1"/>
        </w:trPr>
        <w:tc>
          <w:tcPr>
            <w:tcBorders>
              <w:bottom w:val="single"/>
            </w:tcBorders>
            <w:vAlign w:val="bottom"/>
          </w:tcPr>
          <w:p>
            <w:pPr>
              <w:pStyle w:val="Compact"/>
              <w:jc w:val="left"/>
            </w:pPr>
            <w:r>
              <w:t xml:space="preserve">Cumulative number</w:t>
            </w:r>
          </w:p>
        </w:tc>
        <w:tc>
          <w:tcPr>
            <w:tcBorders>
              <w:bottom w:val="single"/>
            </w:tcBorders>
            <w:vAlign w:val="bottom"/>
          </w:tcPr>
          <w:p>
            <w:pPr>
              <w:pStyle w:val="Compact"/>
              <w:jc w:val="left"/>
            </w:pPr>
            <w:r>
              <w:t xml:space="preserve">VNEC % (n)</w:t>
            </w:r>
          </w:p>
        </w:tc>
        <w:tc>
          <w:tcPr>
            <w:tcBorders>
              <w:bottom w:val="single"/>
            </w:tcBorders>
            <w:vAlign w:val="bottom"/>
          </w:tcPr>
          <w:p>
            <w:pPr>
              <w:pStyle w:val="Compact"/>
              <w:jc w:val="left"/>
            </w:pPr>
            <w:r>
              <w:t xml:space="preserve">VEC % (n)</w:t>
            </w:r>
          </w:p>
        </w:tc>
        <w:tc>
          <w:tcPr>
            <w:tcBorders>
              <w:bottom w:val="single"/>
            </w:tcBorders>
            <w:vAlign w:val="bottom"/>
          </w:tcPr>
          <w:p>
            <w:pPr>
              <w:pStyle w:val="Compact"/>
              <w:jc w:val="left"/>
            </w:pPr>
            <w:r>
              <w:t xml:space="preserve">RR (95%CI)</w:t>
            </w:r>
          </w:p>
        </w:tc>
        <w:tc>
          <w:tcPr>
            <w:tcBorders>
              <w:bottom w:val="single"/>
            </w:tcBorders>
            <w:vAlign w:val="bottom"/>
          </w:tcPr>
          <w:p>
            <w:pPr>
              <w:pStyle w:val="Compact"/>
              <w:jc w:val="left"/>
            </w:pPr>
            <w:r>
              <w:t xml:space="preserve">ARD (95%CI</w:t>
            </w:r>
          </w:p>
        </w:tc>
        <w:tc>
          <w:tcPr>
            <w:tcBorders>
              <w:bottom w:val="single"/>
            </w:tcBorders>
            <w:vAlign w:val="bottom"/>
          </w:tcPr>
          <w:p>
            <w:pPr>
              <w:pStyle w:val="Compact"/>
              <w:jc w:val="left"/>
            </w:pPr>
            <w:r>
              <w:t xml:space="preserve">VNEC % (n)</w:t>
            </w:r>
          </w:p>
        </w:tc>
        <w:tc>
          <w:tcPr>
            <w:tcBorders>
              <w:bottom w:val="single"/>
            </w:tcBorders>
            <w:vAlign w:val="bottom"/>
          </w:tcPr>
          <w:p>
            <w:pPr>
              <w:pStyle w:val="Compact"/>
              <w:jc w:val="left"/>
            </w:pPr>
            <w:r>
              <w:t xml:space="preserve">VEC % (n)</w:t>
            </w:r>
          </w:p>
        </w:tc>
        <w:tc>
          <w:tcPr>
            <w:tcBorders>
              <w:bottom w:val="single"/>
            </w:tcBorders>
            <w:vAlign w:val="bottom"/>
          </w:tcPr>
          <w:p>
            <w:pPr>
              <w:pStyle w:val="Compact"/>
              <w:jc w:val="left"/>
            </w:pPr>
            <w:r>
              <w:t xml:space="preserve">RR (95%CI)</w:t>
            </w:r>
          </w:p>
        </w:tc>
        <w:tc>
          <w:tcPr>
            <w:tcBorders>
              <w:bottom w:val="single"/>
            </w:tcBorders>
            <w:vAlign w:val="bottom"/>
          </w:tcPr>
          <w:p>
            <w:pPr>
              <w:pStyle w:val="Compact"/>
              <w:jc w:val="left"/>
            </w:pPr>
            <w:r>
              <w:t xml:space="preserve">ARD (95%CI</w:t>
            </w:r>
          </w:p>
        </w:tc>
      </w:tr>
      <w:tr>
        <w:tc>
          <w:p>
            <w:pPr>
              <w:pStyle w:val="Compact"/>
              <w:jc w:val="left"/>
            </w:pPr>
            <w:r>
              <w:t xml:space="preserve">0</w:t>
            </w:r>
          </w:p>
        </w:tc>
        <w:tc>
          <w:p>
            <w:pPr>
              <w:pStyle w:val="Compact"/>
              <w:jc w:val="left"/>
            </w:pPr>
            <w:r>
              <w:t xml:space="preserve">3.43 (286)</w:t>
            </w:r>
          </w:p>
        </w:tc>
        <w:tc>
          <w:p>
            <w:pPr>
              <w:pStyle w:val="Compact"/>
              <w:jc w:val="left"/>
            </w:pPr>
            <w:r>
              <w:t xml:space="preserve">5.22 (72)</w:t>
            </w:r>
          </w:p>
        </w:tc>
        <w:tc>
          <w:p>
            <w:pPr>
              <w:pStyle w:val="Compact"/>
              <w:jc w:val="left"/>
            </w:pPr>
            <w:r>
              <w:t xml:space="preserve">1.18 (1.52 to 1.96)</w:t>
            </w:r>
          </w:p>
        </w:tc>
        <w:tc>
          <w:p>
            <w:pPr>
              <w:pStyle w:val="Compact"/>
              <w:jc w:val="left"/>
            </w:pPr>
            <w:r>
              <w:t xml:space="preserve">1.79 (0.51 to 3.07)</w:t>
            </w:r>
          </w:p>
        </w:tc>
        <w:tc>
          <w:p>
            <w:pPr>
              <w:pStyle w:val="Compact"/>
              <w:jc w:val="left"/>
            </w:pPr>
            <w:r>
              <w:t xml:space="preserve">20.60 (1,720)</w:t>
            </w:r>
          </w:p>
        </w:tc>
        <w:tc>
          <w:p>
            <w:pPr>
              <w:pStyle w:val="Compact"/>
              <w:jc w:val="left"/>
            </w:pPr>
            <w:r>
              <w:t xml:space="preserve">28.90 (398)</w:t>
            </w:r>
          </w:p>
        </w:tc>
        <w:tc>
          <w:p>
            <w:pPr>
              <w:pStyle w:val="Compact"/>
              <w:jc w:val="left"/>
            </w:pPr>
            <w:r>
              <w:t xml:space="preserve">1.28 (1.40 to 1.54)</w:t>
            </w:r>
          </w:p>
        </w:tc>
        <w:tc>
          <w:p>
            <w:pPr>
              <w:pStyle w:val="Compact"/>
              <w:jc w:val="left"/>
            </w:pPr>
            <w:r>
              <w:t xml:space="preserve">8.29 (5.70 to 10.900)</w:t>
            </w:r>
          </w:p>
        </w:tc>
      </w:tr>
      <w:tr>
        <w:tc>
          <w:p>
            <w:pPr>
              <w:pStyle w:val="Compact"/>
              <w:jc w:val="left"/>
            </w:pPr>
            <w:r>
              <w:t xml:space="preserve">1</w:t>
            </w:r>
          </w:p>
        </w:tc>
        <w:tc>
          <w:p>
            <w:pPr>
              <w:pStyle w:val="Compact"/>
              <w:jc w:val="left"/>
            </w:pPr>
            <w:r>
              <w:t xml:space="preserve">11.60 (966)</w:t>
            </w:r>
          </w:p>
        </w:tc>
        <w:tc>
          <w:p>
            <w:pPr>
              <w:pStyle w:val="Compact"/>
              <w:jc w:val="left"/>
            </w:pPr>
            <w:r>
              <w:t xml:space="preserve">12.80 (177)</w:t>
            </w:r>
          </w:p>
        </w:tc>
        <w:tc>
          <w:p>
            <w:pPr>
              <w:pStyle w:val="Compact"/>
              <w:jc w:val="left"/>
            </w:pPr>
            <w:r>
              <w:t xml:space="preserve">0.95 (1.11 to 1.29)</w:t>
            </w:r>
          </w:p>
        </w:tc>
        <w:tc>
          <w:p>
            <w:pPr>
              <w:pStyle w:val="Compact"/>
              <w:jc w:val="left"/>
            </w:pPr>
            <w:r>
              <w:t xml:space="preserve">1.26 (-0.68 to 3.19)</w:t>
            </w:r>
          </w:p>
        </w:tc>
        <w:tc>
          <w:p>
            <w:pPr>
              <w:pStyle w:val="Compact"/>
              <w:jc w:val="left"/>
            </w:pPr>
            <w:r>
              <w:t xml:space="preserve">24.90 (2,080)</w:t>
            </w:r>
          </w:p>
        </w:tc>
        <w:tc>
          <w:p>
            <w:pPr>
              <w:pStyle w:val="Compact"/>
              <w:jc w:val="left"/>
            </w:pPr>
            <w:r>
              <w:t xml:space="preserve">24.40 (337)</w:t>
            </w:r>
          </w:p>
        </w:tc>
        <w:tc>
          <w:p>
            <w:pPr>
              <w:pStyle w:val="Compact"/>
              <w:jc w:val="left"/>
            </w:pPr>
            <w:r>
              <w:t xml:space="preserve">0.89 (0.98 to 1.09)</w:t>
            </w:r>
          </w:p>
        </w:tc>
        <w:tc>
          <w:p>
            <w:pPr>
              <w:pStyle w:val="Compact"/>
              <w:jc w:val="left"/>
            </w:pPr>
            <w:r>
              <w:t xml:space="preserve">-0.45 (-2.94 to 2.040)</w:t>
            </w:r>
          </w:p>
        </w:tc>
      </w:tr>
      <w:tr>
        <w:tc>
          <w:p>
            <w:pPr>
              <w:pStyle w:val="Compact"/>
              <w:jc w:val="left"/>
            </w:pPr>
            <w:r>
              <w:t xml:space="preserve">2</w:t>
            </w:r>
          </w:p>
        </w:tc>
        <w:tc>
          <w:p>
            <w:pPr>
              <w:pStyle w:val="Compact"/>
              <w:jc w:val="left"/>
            </w:pPr>
            <w:r>
              <w:t xml:space="preserve">19.30 (1,610)</w:t>
            </w:r>
          </w:p>
        </w:tc>
        <w:tc>
          <w:p>
            <w:pPr>
              <w:pStyle w:val="Compact"/>
              <w:jc w:val="left"/>
            </w:pPr>
            <w:r>
              <w:t xml:space="preserve">22.60 (311)</w:t>
            </w:r>
          </w:p>
        </w:tc>
        <w:tc>
          <w:p>
            <w:pPr>
              <w:pStyle w:val="Compact"/>
              <w:jc w:val="left"/>
            </w:pPr>
            <w:r>
              <w:t xml:space="preserve">1.05 (1.17 to 1.30)</w:t>
            </w:r>
          </w:p>
        </w:tc>
        <w:tc>
          <w:p>
            <w:pPr>
              <w:pStyle w:val="Compact"/>
              <w:jc w:val="left"/>
            </w:pPr>
            <w:r>
              <w:t xml:space="preserve">3.28 (0.87 to 5.68)</w:t>
            </w:r>
          </w:p>
        </w:tc>
        <w:tc>
          <w:p>
            <w:pPr>
              <w:pStyle w:val="Compact"/>
              <w:jc w:val="left"/>
            </w:pPr>
            <w:r>
              <w:t xml:space="preserve">20.40 (1,700)</w:t>
            </w:r>
          </w:p>
        </w:tc>
        <w:tc>
          <w:p>
            <w:pPr>
              <w:pStyle w:val="Compact"/>
              <w:jc w:val="left"/>
            </w:pPr>
            <w:r>
              <w:t xml:space="preserve">19.60 (270)</w:t>
            </w:r>
          </w:p>
        </w:tc>
        <w:tc>
          <w:p>
            <w:pPr>
              <w:pStyle w:val="Compact"/>
              <w:jc w:val="left"/>
            </w:pPr>
            <w:r>
              <w:t xml:space="preserve">0.85 (0.96 to 1.07)</w:t>
            </w:r>
          </w:p>
        </w:tc>
        <w:tc>
          <w:p>
            <w:pPr>
              <w:pStyle w:val="Compact"/>
              <w:jc w:val="left"/>
            </w:pPr>
            <w:r>
              <w:t xml:space="preserve">-0.86 (-3.17 to 1.450)</w:t>
            </w:r>
          </w:p>
        </w:tc>
      </w:tr>
      <w:tr>
        <w:tc>
          <w:p>
            <w:pPr>
              <w:pStyle w:val="Compact"/>
              <w:jc w:val="left"/>
            </w:pPr>
            <w:r>
              <w:t xml:space="preserve">3-4</w:t>
            </w:r>
          </w:p>
        </w:tc>
        <w:tc>
          <w:p>
            <w:pPr>
              <w:pStyle w:val="Compact"/>
              <w:jc w:val="left"/>
            </w:pPr>
            <w:r>
              <w:t xml:space="preserve">37.80 (3,150)</w:t>
            </w:r>
          </w:p>
        </w:tc>
        <w:tc>
          <w:p>
            <w:pPr>
              <w:pStyle w:val="Compact"/>
              <w:jc w:val="left"/>
            </w:pPr>
            <w:r>
              <w:t xml:space="preserve">37.40 (516)</w:t>
            </w:r>
          </w:p>
        </w:tc>
        <w:tc>
          <w:p>
            <w:pPr>
              <w:pStyle w:val="Compact"/>
              <w:jc w:val="left"/>
            </w:pPr>
            <w:r>
              <w:t xml:space="preserve">0.92 (0.99 to 1.07)</w:t>
            </w:r>
          </w:p>
        </w:tc>
        <w:tc>
          <w:p>
            <w:pPr>
              <w:pStyle w:val="Compact"/>
              <w:jc w:val="left"/>
            </w:pPr>
            <w:r>
              <w:t xml:space="preserve">-0.39 (-3.19 to 2.41)</w:t>
            </w:r>
          </w:p>
        </w:tc>
        <w:tc>
          <w:p>
            <w:pPr>
              <w:pStyle w:val="Compact"/>
              <w:jc w:val="left"/>
            </w:pPr>
            <w:r>
              <w:t xml:space="preserve">24.90 (2,080)</w:t>
            </w:r>
          </w:p>
        </w:tc>
        <w:tc>
          <w:p>
            <w:pPr>
              <w:pStyle w:val="Compact"/>
              <w:jc w:val="left"/>
            </w:pPr>
            <w:r>
              <w:t xml:space="preserve">20.20 (279)</w:t>
            </w:r>
          </w:p>
        </w:tc>
        <w:tc>
          <w:p>
            <w:pPr>
              <w:pStyle w:val="Compact"/>
              <w:jc w:val="left"/>
            </w:pPr>
            <w:r>
              <w:t xml:space="preserve">0.73 (0.81 to 0.91)</w:t>
            </w:r>
          </w:p>
        </w:tc>
        <w:tc>
          <w:p>
            <w:pPr>
              <w:pStyle w:val="Compact"/>
              <w:jc w:val="left"/>
            </w:pPr>
            <w:r>
              <w:t xml:space="preserve">-4.64 (-7.00 to -2.290)</w:t>
            </w:r>
          </w:p>
        </w:tc>
      </w:tr>
      <w:tr>
        <w:tc>
          <w:p>
            <w:pPr>
              <w:pStyle w:val="Compact"/>
              <w:jc w:val="left"/>
            </w:pPr>
            <w:r>
              <w:t xml:space="preserve">5-7</w:t>
            </w:r>
          </w:p>
        </w:tc>
        <w:tc>
          <w:p>
            <w:pPr>
              <w:pStyle w:val="Compact"/>
              <w:jc w:val="left"/>
            </w:pPr>
            <w:r>
              <w:t xml:space="preserve">22.30 (1,860)</w:t>
            </w:r>
          </w:p>
        </w:tc>
        <w:tc>
          <w:p>
            <w:pPr>
              <w:pStyle w:val="Compact"/>
              <w:jc w:val="left"/>
            </w:pPr>
            <w:r>
              <w:t xml:space="preserve">19.30 (266)</w:t>
            </w:r>
          </w:p>
        </w:tc>
        <w:tc>
          <w:p>
            <w:pPr>
              <w:pStyle w:val="Compact"/>
              <w:jc w:val="left"/>
            </w:pPr>
            <w:r>
              <w:t xml:space="preserve">0.77 (0.86 to 0.97)</w:t>
            </w:r>
          </w:p>
        </w:tc>
        <w:tc>
          <w:p>
            <w:pPr>
              <w:pStyle w:val="Compact"/>
              <w:jc w:val="left"/>
            </w:pPr>
            <w:r>
              <w:t xml:space="preserve">-3.01 (-5.32 to -0.70)</w:t>
            </w:r>
          </w:p>
        </w:tc>
        <w:tc>
          <w:p>
            <w:pPr>
              <w:pStyle w:val="Compact"/>
              <w:jc w:val="left"/>
            </w:pPr>
            <w:r>
              <w:t xml:space="preserve">7.98 (666)</w:t>
            </w:r>
          </w:p>
        </w:tc>
        <w:tc>
          <w:p>
            <w:pPr>
              <w:pStyle w:val="Compact"/>
              <w:jc w:val="left"/>
            </w:pPr>
            <w:r>
              <w:t xml:space="preserve">6.45 (89)</w:t>
            </w:r>
          </w:p>
        </w:tc>
        <w:tc>
          <w:p>
            <w:pPr>
              <w:pStyle w:val="Compact"/>
              <w:jc w:val="left"/>
            </w:pPr>
            <w:r>
              <w:t xml:space="preserve">0.65 (0.81 to 1.00)</w:t>
            </w:r>
          </w:p>
        </w:tc>
        <w:tc>
          <w:p>
            <w:pPr>
              <w:pStyle w:val="Compact"/>
              <w:jc w:val="left"/>
            </w:pPr>
            <w:r>
              <w:t xml:space="preserve">-1.53 (-2.99 to -0.066)</w:t>
            </w:r>
          </w:p>
        </w:tc>
      </w:tr>
      <w:tr>
        <w:tc>
          <w:p>
            <w:pPr>
              <w:pStyle w:val="Compact"/>
              <w:jc w:val="left"/>
            </w:pPr>
            <w:r>
              <w:t xml:space="preserve">8+</w:t>
            </w:r>
          </w:p>
        </w:tc>
        <w:tc>
          <w:p>
            <w:pPr>
              <w:pStyle w:val="Compact"/>
              <w:jc w:val="left"/>
            </w:pPr>
            <w:r>
              <w:t xml:space="preserve">5.61 (468)</w:t>
            </w:r>
          </w:p>
        </w:tc>
        <w:tc>
          <w:p>
            <w:pPr>
              <w:pStyle w:val="Compact"/>
              <w:jc w:val="left"/>
            </w:pPr>
            <w:r>
              <w:t xml:space="preserve">2.68 (37)</w:t>
            </w:r>
          </w:p>
        </w:tc>
        <w:tc>
          <w:p>
            <w:pPr>
              <w:pStyle w:val="Compact"/>
              <w:jc w:val="left"/>
            </w:pPr>
            <w:r>
              <w:t xml:space="preserve">0.34 (0.48 to 0.67)</w:t>
            </w:r>
          </w:p>
        </w:tc>
        <w:tc>
          <w:p>
            <w:pPr>
              <w:pStyle w:val="Compact"/>
              <w:jc w:val="left"/>
            </w:pPr>
            <w:r>
              <w:t xml:space="preserve">-2.93 (-3.95 to -1.90)</w:t>
            </w:r>
          </w:p>
        </w:tc>
        <w:tc>
          <w:p>
            <w:pPr>
              <w:pStyle w:val="Compact"/>
              <w:jc w:val="left"/>
            </w:pPr>
            <w:r>
              <w:t xml:space="preserve">1.25 (104)</w:t>
            </w:r>
          </w:p>
        </w:tc>
        <w:tc>
          <w:p>
            <w:pPr>
              <w:pStyle w:val="Compact"/>
              <w:jc w:val="left"/>
            </w:pPr>
            <w:r>
              <w:t xml:space="preserve">0.43 (6)</w:t>
            </w:r>
          </w:p>
        </w:tc>
        <w:tc>
          <w:p>
            <w:pPr>
              <w:pStyle w:val="Compact"/>
              <w:jc w:val="left"/>
            </w:pPr>
            <w:r>
              <w:t xml:space="preserve">0.15 (0.35 to 0.79)</w:t>
            </w:r>
          </w:p>
        </w:tc>
        <w:tc>
          <w:p>
            <w:pPr>
              <w:pStyle w:val="Compact"/>
              <w:jc w:val="left"/>
            </w:pPr>
            <w:r>
              <w:t xml:space="preserve">-0.81 (-1.28 to -0.348)</w:t>
            </w:r>
          </w:p>
        </w:tc>
      </w:tr>
    </w:tbl>
    <w:p>
      <w:pPr>
        <w:pStyle w:val="BodyText"/>
      </w:pPr>
      <w:r>
        <w:t xml:space="preserve">A diagnostic plot of Schoenfeld residuals was used to visually assess the proportional hazard assumption for all covariates in each Cox model and no systematic deviations were detected.</w:t>
      </w:r>
      <w:r>
        <w:t xml:space="preserve"> </w:t>
      </w:r>
      <w:r>
        <w:t xml:space="preserve">The hazard of undergoing a tympanostomy tube procedure was considerably higher in children who had previously visited a physician for otitis media or received an antimicrobial prescription.</w:t>
      </w:r>
      <w:r>
        <w:t xml:space="preserve"> </w:t>
      </w:r>
      <w:r>
        <w:t xml:space="preserve">Children who had one prior documented visit were considerably more likely to undergo a procedure than children who had no documented visits, HR of 3.12 (95%CI 2.93-3.32).</w:t>
      </w:r>
      <w:r>
        <w:t xml:space="preserve"> </w:t>
      </w:r>
      <w:r>
        <w:t xml:space="preserve">Likewise, children who had filled one previous antimicrobial prescription were more likely to receive a tympanostomy tube than children who had recieved no prescription, 6.98 (95%CI 6.13-7.95).</w:t>
      </w:r>
      <w:r>
        <w:t xml:space="preserve"> </w:t>
      </w:r>
      <w:r>
        <w:t xml:space="preserve">The hazard of tympanostomy tube placement increased gradually from birth-cohort 2005 to 2015,</w:t>
      </w:r>
      <w:r>
        <w:t xml:space="preserve"> </w:t>
      </w:r>
      <w:r>
        <w:t xml:space="preserve">3</w:t>
      </w:r>
      <w:r>
        <w:t xml:space="preserve">.</w:t>
      </w:r>
    </w:p>
    <w:p>
      <w:pPr>
        <w:pStyle w:val="FigureWithCaption"/>
      </w:pPr>
      <w:r>
        <w:drawing>
          <wp:inline>
            <wp:extent cx="5676900" cy="6624385"/>
            <wp:effectExtent b="0" l="0" r="0" t="0"/>
            <wp:docPr descr="Figure 3 The hazard ratio of undergoing a tympanostomy tube placement between each of the study’s birth-cohorts and the last vaccine non-eligible birth-cohort" title="" id="1" name="Picture"/>
            <a:graphic>
              <a:graphicData uri="http://schemas.openxmlformats.org/drawingml/2006/picture">
                <pic:pic>
                  <pic:nvPicPr>
                    <pic:cNvPr descr="_figures/paper_4/2018-11-28-combined-hazard.png" id="0" name="Picture"/>
                    <pic:cNvPicPr>
                      <a:picLocks noChangeArrowheads="1" noChangeAspect="1"/>
                    </pic:cNvPicPr>
                  </pic:nvPicPr>
                  <pic:blipFill>
                    <a:blip r:embed="rId76"/>
                    <a:stretch>
                      <a:fillRect/>
                    </a:stretch>
                  </pic:blipFill>
                  <pic:spPr bwMode="auto">
                    <a:xfrm>
                      <a:off x="0" y="0"/>
                      <a:ext cx="5676900" cy="6624385"/>
                    </a:xfrm>
                    <a:prstGeom prst="rect">
                      <a:avLst/>
                    </a:prstGeom>
                    <a:noFill/>
                    <a:ln w="9525">
                      <a:noFill/>
                      <a:headEnd/>
                      <a:tailEnd/>
                    </a:ln>
                  </pic:spPr>
                </pic:pic>
              </a:graphicData>
            </a:graphic>
          </wp:inline>
        </w:drawing>
      </w:r>
    </w:p>
    <w:p>
      <w:pPr>
        <w:pStyle w:val="ImageCaption"/>
      </w:pPr>
      <w:r>
        <w:t xml:space="preserve">Figure 3 The hazard ratio of undergoing a tympanostomy tube placement between each of the study’s birth-cohorts and the last vaccine non-eligible birth-cohort</w:t>
      </w:r>
    </w:p>
    <w:p>
      <w:pPr>
        <w:pStyle w:val="Heading1"/>
      </w:pPr>
      <w:bookmarkStart w:id="77" w:name="discussion"/>
      <w:bookmarkEnd w:id="77"/>
      <w:r>
        <w:t xml:space="preserve">Discussion</w:t>
      </w:r>
    </w:p>
    <w:p>
      <w:pPr>
        <w:pStyle w:val="Compact"/>
        <w:numPr>
          <w:numId w:val="1002"/>
          <w:ilvl w:val="0"/>
        </w:numPr>
      </w:pPr>
      <w:r>
        <w:t xml:space="preserve">discuss the completeness of the data, the number of Icelanders in the study data vs. the total number of icelanders.</w:t>
      </w:r>
    </w:p>
    <w:p>
      <w:pPr>
        <w:pStyle w:val="Compact"/>
        <w:numPr>
          <w:numId w:val="1002"/>
          <w:ilvl w:val="0"/>
        </w:numPr>
      </w:pPr>
      <w:r>
        <w:t xml:space="preserve">discuss the age distribution regarding the number of visits vs hospitalizations.</w:t>
      </w:r>
    </w:p>
    <w:p>
      <w:pPr>
        <w:pStyle w:val="Compact"/>
        <w:numPr>
          <w:numId w:val="1002"/>
          <w:ilvl w:val="0"/>
        </w:numPr>
      </w:pPr>
      <w:r>
        <w:t xml:space="preserve">discuss the vaccine registry, how no difference is occurring in pneumococcal vaccinations of adults</w:t>
      </w:r>
    </w:p>
    <w:p>
      <w:pPr>
        <w:pStyle w:val="Compact"/>
        <w:numPr>
          <w:numId w:val="1002"/>
          <w:ilvl w:val="0"/>
        </w:numPr>
      </w:pPr>
      <w:r>
        <w:t xml:space="preserve">discuss how the 2009 and 2010 cohorts received vaccination late, almost like a catch-up.</w:t>
      </w:r>
    </w:p>
    <w:sectPr w:rsidR="00002D93" w:rsidSect="00864715">
      <w:type w:val="oddPage"/>
      <w:pgSz w:w="12240" w:h="15840"/>
      <w:pgMar w:top="1474" w:right="1644" w:bottom="1474" w:left="1644" w:header="680" w:footer="510" w:gutter="0"/>
      <w:cols w:space="720"/>
      <w:docGrid w:linePitch="27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00002FF" w:usb1="4000ACFF" w:usb2="00000001" w:usb3="00000000" w:csb0="0000019F" w:csb1="00000000"/>
  </w:font>
  <w:font w:name="Consolas">
    <w:panose1 w:val="020B0609020204030204"/>
    <w:charset w:val="00"/>
    <w:family w:val="auto"/>
    <w:pitch w:val="variable"/>
    <w:sig w:usb0="E10002FF" w:usb1="4000FCFF" w:usb2="00000009" w:usb3="00000000" w:csb0="0000019F" w:csb1="00000000"/>
  </w:font>
  <w:font w:name="Cambria Math">
    <w:panose1 w:val="02040503050406030204"/>
    <w:charset w:val="00"/>
    <w:family w:val="auto"/>
    <w:pitch w:val="variable"/>
    <w:sig w:usb0="E00002FF" w:usb1="420024FF" w:usb2="00000000"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C8FD36ED"/>
    <w:multiLevelType w:val="multilevel"/>
    <w:tmpl w:val="B14895A0"/>
    <w:lvl w:ilvl="0">
      <w:start w:val="1"/>
      <w:numFmt w:val="lowerRoman"/>
      <w:lvlText w:val="%1."/>
      <w:lvlJc w:val="left"/>
      <w:pPr>
        <w:tabs>
          <w:tab w:val="num" w:pos="0"/>
        </w:tabs>
        <w:ind w:left="480" w:hanging="480"/>
      </w:pPr>
    </w:lvl>
    <w:lvl w:ilvl="1">
      <w:start w:val="1"/>
      <w:numFmt w:val="lowerRoman"/>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lowerRoman"/>
      <w:lvlText w:val="%4."/>
      <w:lvlJc w:val="left"/>
      <w:pPr>
        <w:tabs>
          <w:tab w:val="num" w:pos="2160"/>
        </w:tabs>
        <w:ind w:left="2640" w:hanging="480"/>
      </w:pPr>
    </w:lvl>
    <w:lvl w:ilvl="4">
      <w:start w:val="1"/>
      <w:numFmt w:val="lowerRoman"/>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lowerRoman"/>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1">
    <w:nsid w:val="D3C709DE"/>
    <w:multiLevelType w:val="multilevel"/>
    <w:tmpl w:val="7498883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nsid w:val="DC945753"/>
    <w:multiLevelType w:val="multilevel"/>
    <w:tmpl w:val="9C9E0448"/>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3">
    <w:nsid w:val="E17F69BA"/>
    <w:multiLevelType w:val="multilevel"/>
    <w:tmpl w:val="664E154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4">
    <w:nsid w:val="E250AA80"/>
    <w:multiLevelType w:val="multilevel"/>
    <w:tmpl w:val="3C02871A"/>
    <w:lvl w:ilvl="0">
      <w:start w:val="1"/>
      <w:numFmt w:val="lowerRoman"/>
      <w:lvlText w:val="%1."/>
      <w:lvlJc w:val="left"/>
      <w:pPr>
        <w:tabs>
          <w:tab w:val="num" w:pos="0"/>
        </w:tabs>
        <w:ind w:left="480" w:hanging="480"/>
      </w:pPr>
    </w:lvl>
    <w:lvl w:ilvl="1">
      <w:start w:val="1"/>
      <w:numFmt w:val="lowerRoman"/>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lowerRoman"/>
      <w:lvlText w:val="%4."/>
      <w:lvlJc w:val="left"/>
      <w:pPr>
        <w:tabs>
          <w:tab w:val="num" w:pos="2160"/>
        </w:tabs>
        <w:ind w:left="2640" w:hanging="480"/>
      </w:pPr>
    </w:lvl>
    <w:lvl w:ilvl="4">
      <w:start w:val="1"/>
      <w:numFmt w:val="lowerRoman"/>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lowerRoman"/>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5">
    <w:nsid w:val="FFFFFF1D"/>
    <w:multiLevelType w:val="multilevel"/>
    <w:tmpl w:val="D5361D56"/>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6">
    <w:nsid w:val="FFFFFF7C"/>
    <w:multiLevelType w:val="singleLevel"/>
    <w:tmpl w:val="BD6C8BD6"/>
    <w:lvl w:ilvl="0">
      <w:start w:val="1"/>
      <w:numFmt w:val="decimal"/>
      <w:lvlText w:val="%1."/>
      <w:lvlJc w:val="left"/>
      <w:pPr>
        <w:tabs>
          <w:tab w:val="num" w:pos="1492"/>
        </w:tabs>
        <w:ind w:left="1492" w:hanging="360"/>
      </w:pPr>
    </w:lvl>
  </w:abstractNum>
  <w:abstractNum w:abstractNumId="7">
    <w:nsid w:val="FFFFFF7D"/>
    <w:multiLevelType w:val="singleLevel"/>
    <w:tmpl w:val="1C5EC8CE"/>
    <w:lvl w:ilvl="0">
      <w:start w:val="1"/>
      <w:numFmt w:val="decimal"/>
      <w:lvlText w:val="%1."/>
      <w:lvlJc w:val="left"/>
      <w:pPr>
        <w:tabs>
          <w:tab w:val="num" w:pos="1209"/>
        </w:tabs>
        <w:ind w:left="1209" w:hanging="360"/>
      </w:pPr>
    </w:lvl>
  </w:abstractNum>
  <w:abstractNum w:abstractNumId="8">
    <w:nsid w:val="FFFFFF7E"/>
    <w:multiLevelType w:val="singleLevel"/>
    <w:tmpl w:val="3FBC6698"/>
    <w:lvl w:ilvl="0">
      <w:start w:val="1"/>
      <w:numFmt w:val="decimal"/>
      <w:lvlText w:val="%1."/>
      <w:lvlJc w:val="left"/>
      <w:pPr>
        <w:tabs>
          <w:tab w:val="num" w:pos="926"/>
        </w:tabs>
        <w:ind w:left="926" w:hanging="360"/>
      </w:pPr>
    </w:lvl>
  </w:abstractNum>
  <w:abstractNum w:abstractNumId="9">
    <w:nsid w:val="FFFFFF7F"/>
    <w:multiLevelType w:val="singleLevel"/>
    <w:tmpl w:val="74FEA27E"/>
    <w:lvl w:ilvl="0">
      <w:start w:val="1"/>
      <w:numFmt w:val="decimal"/>
      <w:lvlText w:val="%1."/>
      <w:lvlJc w:val="left"/>
      <w:pPr>
        <w:tabs>
          <w:tab w:val="num" w:pos="643"/>
        </w:tabs>
        <w:ind w:left="643" w:hanging="360"/>
      </w:pPr>
    </w:lvl>
  </w:abstractNum>
  <w:abstractNum w:abstractNumId="10">
    <w:nsid w:val="FFFFFF80"/>
    <w:multiLevelType w:val="singleLevel"/>
    <w:tmpl w:val="BDCCDB7E"/>
    <w:lvl w:ilvl="0">
      <w:start w:val="1"/>
      <w:numFmt w:val="bullet"/>
      <w:lvlText w:val=""/>
      <w:lvlJc w:val="left"/>
      <w:pPr>
        <w:tabs>
          <w:tab w:val="num" w:pos="1492"/>
        </w:tabs>
        <w:ind w:left="1492" w:hanging="360"/>
      </w:pPr>
      <w:rPr>
        <w:rFonts w:ascii="Symbol" w:hAnsi="Symbol" w:hint="default"/>
      </w:rPr>
    </w:lvl>
  </w:abstractNum>
  <w:abstractNum w:abstractNumId="11">
    <w:nsid w:val="FFFFFF81"/>
    <w:multiLevelType w:val="singleLevel"/>
    <w:tmpl w:val="1BD08098"/>
    <w:lvl w:ilvl="0">
      <w:start w:val="1"/>
      <w:numFmt w:val="bullet"/>
      <w:lvlText w:val=""/>
      <w:lvlJc w:val="left"/>
      <w:pPr>
        <w:tabs>
          <w:tab w:val="num" w:pos="1209"/>
        </w:tabs>
        <w:ind w:left="1209" w:hanging="360"/>
      </w:pPr>
      <w:rPr>
        <w:rFonts w:ascii="Symbol" w:hAnsi="Symbol" w:hint="default"/>
      </w:rPr>
    </w:lvl>
  </w:abstractNum>
  <w:abstractNum w:abstractNumId="12">
    <w:nsid w:val="FFFFFF82"/>
    <w:multiLevelType w:val="singleLevel"/>
    <w:tmpl w:val="DCA0A724"/>
    <w:lvl w:ilvl="0">
      <w:start w:val="1"/>
      <w:numFmt w:val="bullet"/>
      <w:lvlText w:val=""/>
      <w:lvlJc w:val="left"/>
      <w:pPr>
        <w:tabs>
          <w:tab w:val="num" w:pos="926"/>
        </w:tabs>
        <w:ind w:left="926" w:hanging="360"/>
      </w:pPr>
      <w:rPr>
        <w:rFonts w:ascii="Symbol" w:hAnsi="Symbol" w:hint="default"/>
      </w:rPr>
    </w:lvl>
  </w:abstractNum>
  <w:abstractNum w:abstractNumId="13">
    <w:nsid w:val="FFFFFF83"/>
    <w:multiLevelType w:val="singleLevel"/>
    <w:tmpl w:val="7B922538"/>
    <w:lvl w:ilvl="0">
      <w:start w:val="1"/>
      <w:numFmt w:val="bullet"/>
      <w:lvlText w:val=""/>
      <w:lvlJc w:val="left"/>
      <w:pPr>
        <w:tabs>
          <w:tab w:val="num" w:pos="643"/>
        </w:tabs>
        <w:ind w:left="643" w:hanging="360"/>
      </w:pPr>
      <w:rPr>
        <w:rFonts w:ascii="Symbol" w:hAnsi="Symbol" w:hint="default"/>
      </w:rPr>
    </w:lvl>
  </w:abstractNum>
  <w:abstractNum w:abstractNumId="14">
    <w:nsid w:val="FFFFFF88"/>
    <w:multiLevelType w:val="singleLevel"/>
    <w:tmpl w:val="5E405AF4"/>
    <w:lvl w:ilvl="0">
      <w:start w:val="1"/>
      <w:numFmt w:val="decimal"/>
      <w:lvlText w:val="%1."/>
      <w:lvlJc w:val="left"/>
      <w:pPr>
        <w:tabs>
          <w:tab w:val="num" w:pos="360"/>
        </w:tabs>
        <w:ind w:left="360" w:hanging="360"/>
      </w:pPr>
    </w:lvl>
  </w:abstractNum>
  <w:abstractNum w:abstractNumId="15">
    <w:nsid w:val="FFFFFF89"/>
    <w:multiLevelType w:val="singleLevel"/>
    <w:tmpl w:val="20500572"/>
    <w:lvl w:ilvl="0">
      <w:start w:val="1"/>
      <w:numFmt w:val="bullet"/>
      <w:lvlText w:val=""/>
      <w:lvlJc w:val="left"/>
      <w:pPr>
        <w:tabs>
          <w:tab w:val="num" w:pos="360"/>
        </w:tabs>
        <w:ind w:left="360" w:hanging="360"/>
      </w:pPr>
      <w:rPr>
        <w:rFonts w:ascii="Symbol" w:hAnsi="Symbol" w:hint="default"/>
      </w:rPr>
    </w:lvl>
  </w:abstractNum>
  <w:abstractNum w:abstractNumId="16">
    <w:nsid w:val="125C7856"/>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7">
    <w:nsid w:val="2FCE1550"/>
    <w:multiLevelType w:val="multilevel"/>
    <w:tmpl w:val="8D383030"/>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8">
    <w:nsid w:val="33F86A94"/>
    <w:multiLevelType w:val="hybridMultilevel"/>
    <w:tmpl w:val="6A16593E"/>
    <w:lvl w:ilvl="0" w:tplc="0E820976">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nsid w:val="346DD9AD"/>
    <w:multiLevelType w:val="multilevel"/>
    <w:tmpl w:val="9F9EE45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0">
    <w:nsid w:val="66AF269A"/>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1">
    <w:nsid w:val="6A6E4A0A"/>
    <w:multiLevelType w:val="multilevel"/>
    <w:tmpl w:val="1F6E41CA"/>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2">
    <w:nsid w:val="76FC7A2E"/>
    <w:multiLevelType w:val="multilevel"/>
    <w:tmpl w:val="1F6E41CA"/>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990">
    <w:nsid w:val="4fb61498"/>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511">
    <w:nsid w:val="3bf29c8e"/>
    <w:multiLevelType w:val="multilevel"/>
    <w:lvl w:ilvl="0">
      <w:start w:val="1"/>
      <w:numFmt w:val="lowerRoman"/>
      <w:lvlText w:val="%1."/>
      <w:lvlJc w:val="left"/>
      <w:pPr>
        <w:tabs>
          <w:tab w:val="num" w:pos="0"/>
        </w:tabs>
        <w:ind w:left="480" w:hanging="480"/>
      </w:pPr>
    </w:lvl>
    <w:lvl w:ilvl="1">
      <w:start w:val="1"/>
      <w:numFmt w:val="lowerRoman"/>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lowerRoman"/>
      <w:lvlText w:val="%4."/>
      <w:lvlJc w:val="left"/>
      <w:pPr>
        <w:tabs>
          <w:tab w:val="num" w:pos="2160"/>
        </w:tabs>
        <w:ind w:left="2640" w:hanging="480"/>
      </w:pPr>
    </w:lvl>
    <w:lvl w:ilvl="4">
      <w:start w:val="1"/>
      <w:numFmt w:val="lowerRoman"/>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lowerRoman"/>
      <w:lvlText w:val="%7."/>
      <w:lvlJc w:val="left"/>
      <w:pPr>
        <w:tabs>
          <w:tab w:val="num" w:pos="4320"/>
        </w:tabs>
        <w:ind w:left="4800" w:hanging="480"/>
      </w:pPr>
    </w:lvl>
  </w:abstractNum>
  <w:abstractNum w:abstractNumId="991">
    <w:nsid w:val="3c78743e"/>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num w:numId="1">
    <w:abstractNumId w:val="3"/>
  </w:num>
  <w:num w:numId="2">
    <w:abstractNumId w:val="19"/>
  </w:num>
  <w:num w:numId="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4">
    <w:abstractNumId w:val="2"/>
  </w:num>
  <w:num w:numId="5">
    <w:abstractNumId w:val="5"/>
  </w:num>
  <w:num w:numId="6">
    <w:abstractNumId w:val="6"/>
  </w:num>
  <w:num w:numId="7">
    <w:abstractNumId w:val="7"/>
  </w:num>
  <w:num w:numId="8">
    <w:abstractNumId w:val="8"/>
  </w:num>
  <w:num w:numId="9">
    <w:abstractNumId w:val="9"/>
  </w:num>
  <w:num w:numId="10">
    <w:abstractNumId w:val="14"/>
  </w:num>
  <w:num w:numId="11">
    <w:abstractNumId w:val="10"/>
  </w:num>
  <w:num w:numId="12">
    <w:abstractNumId w:val="11"/>
  </w:num>
  <w:num w:numId="13">
    <w:abstractNumId w:val="12"/>
  </w:num>
  <w:num w:numId="14">
    <w:abstractNumId w:val="13"/>
  </w:num>
  <w:num w:numId="15">
    <w:abstractNumId w:val="15"/>
  </w:num>
  <w:num w:numId="16">
    <w:abstractNumId w:val="18"/>
  </w:num>
  <w:num w:numId="17">
    <w:abstractNumId w:val="21"/>
  </w:num>
  <w:num w:numId="18">
    <w:abstractNumId w:val="16"/>
  </w:num>
  <w:num w:numId="19">
    <w:abstractNumId w:val="20"/>
  </w:num>
  <w:num w:numId="20">
    <w:abstractNumId w:val="1"/>
  </w:num>
  <w:num w:numId="2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22">
    <w:abstractNumId w:val="17"/>
  </w:num>
  <w:num w:numId="23">
    <w:abstractNumId w:val="22"/>
  </w:num>
  <w:num w:numId="1000">
    <w:abstractNumId w:val="990"/>
  </w:num>
  <w:num w:numId="1001">
    <w:abstractNumId w:val="995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0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82">
    <w:lsdException w:name="heading 8"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5" w:semiHidden="1" w:unhideWhenUsed="1"/>
    <w:lsdException w:name="List Number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rsid w:val="002B750F"/>
    <w:rPr>
      <w:rFonts w:ascii="Arial" w:hAnsi="Arial"/>
      <w:sz w:val="20"/>
    </w:rPr>
  </w:style>
  <w:style w:type="paragraph" w:styleId="Heading1">
    <w:name w:val="heading 1"/>
    <w:basedOn w:val="Normal"/>
    <w:next w:val="FirstParagraph"/>
    <w:uiPriority w:val="9"/>
    <w:qFormat/>
    <w:rsid w:val="00EA6F75"/>
    <w:pPr>
      <w:keepNext/>
      <w:keepLines/>
      <w:numPr>
        <w:numId w:val="17"/>
      </w:numPr>
      <w:spacing w:before="840" w:after="240"/>
      <w:outlineLvl w:val="0"/>
    </w:pPr>
    <w:rPr>
      <w:rFonts w:eastAsiaTheme="majorEastAsia" w:cstheme="majorBidi"/>
      <w:b/>
      <w:bCs/>
      <w:sz w:val="26"/>
      <w:szCs w:val="32"/>
    </w:rPr>
  </w:style>
  <w:style w:type="paragraph" w:styleId="Heading2">
    <w:name w:val="heading 2"/>
    <w:basedOn w:val="Normal"/>
    <w:next w:val="FirstParagraph"/>
    <w:uiPriority w:val="9"/>
    <w:unhideWhenUsed/>
    <w:qFormat/>
    <w:rsid w:val="00EA6F75"/>
    <w:pPr>
      <w:keepNext/>
      <w:keepLines/>
      <w:numPr>
        <w:ilvl w:val="1"/>
        <w:numId w:val="17"/>
      </w:numPr>
      <w:spacing w:before="240" w:after="120"/>
      <w:outlineLvl w:val="1"/>
    </w:pPr>
    <w:rPr>
      <w:rFonts w:eastAsiaTheme="majorEastAsia" w:cstheme="majorBidi"/>
      <w:b/>
      <w:bCs/>
      <w:sz w:val="24"/>
      <w:szCs w:val="32"/>
    </w:rPr>
  </w:style>
  <w:style w:type="paragraph" w:styleId="Heading3">
    <w:name w:val="heading 3"/>
    <w:basedOn w:val="Normal"/>
    <w:next w:val="FirstParagraph"/>
    <w:uiPriority w:val="9"/>
    <w:unhideWhenUsed/>
    <w:qFormat/>
    <w:rsid w:val="00EA6F75"/>
    <w:pPr>
      <w:numPr>
        <w:ilvl w:val="2"/>
        <w:numId w:val="17"/>
      </w:numPr>
      <w:spacing w:before="200" w:after="60"/>
      <w:outlineLvl w:val="2"/>
    </w:pPr>
    <w:rPr>
      <w:rFonts w:eastAsiaTheme="majorEastAsia" w:cstheme="majorBidi"/>
      <w:b/>
      <w:bCs/>
      <w:sz w:val="22"/>
      <w:szCs w:val="28"/>
    </w:rPr>
  </w:style>
  <w:style w:type="paragraph" w:styleId="Heading4">
    <w:name w:val="heading 4"/>
    <w:basedOn w:val="Normal"/>
    <w:next w:val="BodyText"/>
    <w:uiPriority w:val="9"/>
    <w:unhideWhenUsed/>
    <w:qFormat/>
    <w:rsid w:val="00EA6F75"/>
    <w:pPr>
      <w:keepNext/>
      <w:keepLines/>
      <w:numPr>
        <w:ilvl w:val="3"/>
        <w:numId w:val="17"/>
      </w:numPr>
      <w:spacing w:before="200" w:after="60"/>
      <w:outlineLvl w:val="3"/>
    </w:pPr>
    <w:rPr>
      <w:rFonts w:eastAsiaTheme="majorEastAsia" w:cstheme="majorBidi"/>
      <w:b/>
      <w:bCs/>
      <w:i/>
    </w:rPr>
  </w:style>
  <w:style w:type="paragraph" w:styleId="Heading5">
    <w:name w:val="heading 5"/>
    <w:basedOn w:val="Normal"/>
    <w:next w:val="BodyText"/>
    <w:uiPriority w:val="9"/>
    <w:unhideWhenUsed/>
    <w:qFormat/>
    <w:rsid w:val="009E306E"/>
    <w:pPr>
      <w:keepNext/>
      <w:keepLines/>
      <w:numPr>
        <w:ilvl w:val="4"/>
        <w:numId w:val="17"/>
      </w:numPr>
      <w:spacing w:before="200" w:after="0"/>
      <w:outlineLvl w:val="4"/>
    </w:pPr>
    <w:rPr>
      <w:rFonts w:eastAsiaTheme="majorEastAsia" w:cstheme="majorBidi"/>
      <w:b/>
      <w:i/>
      <w:iCs/>
    </w:rPr>
  </w:style>
  <w:style w:type="paragraph" w:styleId="Heading6">
    <w:name w:val="heading 6"/>
    <w:basedOn w:val="Normal"/>
    <w:next w:val="BodyText"/>
    <w:uiPriority w:val="9"/>
    <w:unhideWhenUsed/>
    <w:qFormat/>
    <w:rsid w:val="009E306E"/>
    <w:pPr>
      <w:keepNext/>
      <w:keepLines/>
      <w:numPr>
        <w:ilvl w:val="5"/>
        <w:numId w:val="17"/>
      </w:numPr>
      <w:spacing w:before="200" w:after="0"/>
      <w:outlineLvl w:val="5"/>
    </w:pPr>
    <w:rPr>
      <w:rFonts w:eastAsiaTheme="majorEastAsia" w:cstheme="majorBidi"/>
    </w:rPr>
  </w:style>
  <w:style w:type="paragraph" w:styleId="Heading7">
    <w:name w:val="heading 7"/>
    <w:basedOn w:val="Normal"/>
    <w:next w:val="Normal"/>
    <w:link w:val="Heading7Char"/>
    <w:rsid w:val="00EA6F75"/>
    <w:pPr>
      <w:keepNext/>
      <w:keepLines/>
      <w:numPr>
        <w:ilvl w:val="6"/>
        <w:numId w:val="17"/>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semiHidden/>
    <w:unhideWhenUsed/>
    <w:rsid w:val="00EA6F75"/>
    <w:pPr>
      <w:keepNext/>
      <w:keepLines/>
      <w:numPr>
        <w:ilvl w:val="7"/>
        <w:numId w:val="17"/>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rsid w:val="00EA6F75"/>
    <w:pPr>
      <w:keepNext/>
      <w:keepLines/>
      <w:numPr>
        <w:ilvl w:val="8"/>
        <w:numId w:val="17"/>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4546A3"/>
    <w:pPr>
      <w:spacing w:before="120" w:after="60" w:line="280" w:lineRule="exact"/>
      <w:ind w:firstLine="284"/>
      <w:jc w:val="both"/>
    </w:pPr>
  </w:style>
  <w:style w:type="paragraph" w:customStyle="1" w:styleId="FirstParagraph">
    <w:name w:val="First Paragraph"/>
    <w:basedOn w:val="BodyText"/>
    <w:next w:val="BodyText"/>
    <w:qFormat/>
    <w:rsid w:val="004546A3"/>
    <w:pPr>
      <w:ind w:firstLine="0"/>
    </w:pPr>
  </w:style>
  <w:style w:type="paragraph" w:customStyle="1" w:styleId="Compact">
    <w:name w:val="Compact"/>
    <w:basedOn w:val="BodyText"/>
    <w:qFormat/>
    <w:rsid w:val="004546A3"/>
    <w:pPr>
      <w:spacing w:before="36" w:after="36"/>
      <w:ind w:firstLine="0"/>
    </w:pPr>
  </w:style>
  <w:style w:type="paragraph" w:styleId="Title">
    <w:name w:val="Title"/>
    <w:basedOn w:val="Normal"/>
    <w:next w:val="BodyText"/>
    <w:qFormat/>
    <w:rsid w:val="004546A3"/>
    <w:pPr>
      <w:keepNext/>
      <w:keepLines/>
      <w:spacing w:before="3000" w:after="0" w:line="280" w:lineRule="exact"/>
      <w:jc w:val="center"/>
    </w:pPr>
    <w:rPr>
      <w:rFonts w:eastAsiaTheme="majorEastAsia" w:cstheme="majorBidi"/>
      <w:b/>
      <w:bCs/>
      <w:sz w:val="36"/>
      <w:szCs w:val="36"/>
    </w:rPr>
  </w:style>
  <w:style w:type="paragraph" w:styleId="Subtitle">
    <w:name w:val="Subtitle"/>
    <w:basedOn w:val="Title"/>
    <w:next w:val="BodyText"/>
    <w:qFormat/>
    <w:pPr>
      <w:spacing w:before="240" w:after="240"/>
    </w:pPr>
    <w:rPr>
      <w:sz w:val="30"/>
      <w:szCs w:val="30"/>
    </w:rPr>
  </w:style>
  <w:style w:type="paragraph" w:customStyle="1" w:styleId="Author">
    <w:name w:val="Author"/>
    <w:next w:val="BodyText"/>
    <w:qFormat/>
    <w:rsid w:val="004546A3"/>
    <w:pPr>
      <w:keepNext/>
      <w:keepLines/>
      <w:spacing w:after="1320"/>
      <w:jc w:val="center"/>
    </w:pPr>
    <w:rPr>
      <w:rFonts w:ascii="Arial" w:hAnsi="Arial"/>
      <w:b/>
      <w:sz w:val="28"/>
    </w:rPr>
  </w:style>
  <w:style w:type="paragraph" w:styleId="Date">
    <w:name w:val="Date"/>
    <w:next w:val="BodyText"/>
    <w:qFormat/>
    <w:pPr>
      <w:keepNext/>
      <w:keepLines/>
      <w:jc w:val="center"/>
    </w:pPr>
  </w:style>
  <w:style w:type="paragraph" w:customStyle="1" w:styleId="Abstract">
    <w:name w:val="Abstract"/>
    <w:basedOn w:val="Normal"/>
    <w:next w:val="BodyText"/>
    <w:qFormat/>
    <w:rsid w:val="002B750F"/>
    <w:pPr>
      <w:keepNext/>
      <w:keepLines/>
      <w:spacing w:before="300" w:after="300"/>
    </w:pPr>
    <w:rPr>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rsid w:val="004546A3"/>
    <w:pPr>
      <w:spacing w:before="120" w:after="240"/>
    </w:pPr>
    <w:rPr>
      <w:sz w:val="18"/>
    </w:rPr>
  </w:style>
  <w:style w:type="paragraph" w:customStyle="1" w:styleId="TableCaption">
    <w:name w:val="Table Caption"/>
    <w:basedOn w:val="Caption"/>
    <w:rsid w:val="00EA6F75"/>
    <w:pPr>
      <w:jc w:val="both"/>
    </w:pPr>
  </w:style>
  <w:style w:type="paragraph" w:customStyle="1" w:styleId="ImageCaption">
    <w:name w:val="Image Caption"/>
    <w:basedOn w:val="Caption"/>
    <w:rsid w:val="00EA6F75"/>
    <w:pPr>
      <w:jc w:val="both"/>
    </w:pPr>
  </w:style>
  <w:style w:type="paragraph" w:customStyle="1" w:styleId="Figure">
    <w:name w:val="Figure"/>
    <w:basedOn w:val="Normal"/>
  </w:style>
  <w:style w:type="paragraph" w:customStyle="1" w:styleId="FigurewithCaption">
    <w:name w:val="Figure with Caption"/>
    <w:basedOn w:val="Figure"/>
    <w:rsid w:val="004546A3"/>
    <w:pPr>
      <w:keepNext/>
    </w:pPr>
    <w:rPr>
      <w:sz w:val="18"/>
    </w:rPr>
  </w:style>
  <w:style w:type="character" w:customStyle="1" w:styleId="CaptionChar">
    <w:name w:val="Caption Char"/>
    <w:basedOn w:val="DefaultParagraphFont"/>
    <w:link w:val="Caption"/>
    <w:rsid w:val="004546A3"/>
    <w:rPr>
      <w:rFonts w:ascii="Arial" w:hAnsi="Arial"/>
      <w:sz w:val="18"/>
    </w:rPr>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rFonts w:ascii="Arial" w:hAnsi="Arial"/>
      <w:sz w:val="18"/>
      <w:vertAlign w:val="superscript"/>
    </w:rPr>
  </w:style>
  <w:style w:type="character" w:styleId="Hyperlink">
    <w:name w:val="Hyperlink"/>
    <w:uiPriority w:val="99"/>
    <w:rsid w:val="00512FCD"/>
    <w:rPr>
      <w:rFonts w:ascii="Arial" w:hAnsi="Arial"/>
      <w:color w:val="auto"/>
      <w:sz w:val="18"/>
    </w:rPr>
  </w:style>
  <w:style w:type="paragraph" w:styleId="TOCHeading">
    <w:name w:val="TOC Heading"/>
    <w:basedOn w:val="Heading1"/>
    <w:next w:val="BodyText"/>
    <w:uiPriority w:val="39"/>
    <w:unhideWhenUsed/>
    <w:qFormat/>
    <w:rsid w:val="00512FCD"/>
    <w:pPr>
      <w:numPr>
        <w:numId w:val="0"/>
      </w:numPr>
      <w:spacing w:before="240" w:line="259" w:lineRule="auto"/>
      <w:outlineLvl w:val="9"/>
    </w:pPr>
    <w:rPr>
      <w:rFonts w:asciiTheme="majorHAnsi" w:hAnsiTheme="majorHAnsi"/>
      <w:b w:val="0"/>
      <w:bCs w:val="0"/>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customStyle="1" w:styleId="BodyTextChar">
    <w:name w:val="Body Text Char"/>
    <w:basedOn w:val="DefaultParagraphFont"/>
    <w:link w:val="BodyText"/>
    <w:rsid w:val="004546A3"/>
    <w:rPr>
      <w:rFonts w:ascii="Arial" w:hAnsi="Arial"/>
      <w:sz w:val="20"/>
    </w:rPr>
  </w:style>
  <w:style w:type="character" w:customStyle="1" w:styleId="Heading7Char">
    <w:name w:val="Heading 7 Char"/>
    <w:basedOn w:val="DefaultParagraphFont"/>
    <w:link w:val="Heading7"/>
    <w:rsid w:val="00EA6F75"/>
    <w:rPr>
      <w:rFonts w:asciiTheme="majorHAnsi" w:eastAsiaTheme="majorEastAsia" w:hAnsiTheme="majorHAnsi" w:cstheme="majorBidi"/>
      <w:i/>
      <w:iCs/>
      <w:color w:val="243F60" w:themeColor="accent1" w:themeShade="7F"/>
      <w:sz w:val="20"/>
    </w:rPr>
  </w:style>
  <w:style w:type="character" w:customStyle="1" w:styleId="Heading8Char">
    <w:name w:val="Heading 8 Char"/>
    <w:basedOn w:val="DefaultParagraphFont"/>
    <w:link w:val="Heading8"/>
    <w:semiHidden/>
    <w:rsid w:val="00EA6F75"/>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rsid w:val="00EA6F75"/>
    <w:rPr>
      <w:rFonts w:asciiTheme="majorHAnsi" w:eastAsiaTheme="majorEastAsia" w:hAnsiTheme="majorHAnsi" w:cstheme="majorBidi"/>
      <w:i/>
      <w:iCs/>
      <w:color w:val="272727" w:themeColor="text1" w:themeTint="D8"/>
      <w:sz w:val="21"/>
      <w:szCs w:val="21"/>
    </w:rPr>
  </w:style>
  <w:style w:type="paragraph" w:styleId="TOC1">
    <w:name w:val="toc 1"/>
    <w:basedOn w:val="Normal"/>
    <w:next w:val="Normal"/>
    <w:autoRedefine/>
    <w:uiPriority w:val="39"/>
    <w:unhideWhenUsed/>
    <w:rsid w:val="00512FCD"/>
    <w:pPr>
      <w:spacing w:before="100" w:after="0" w:line="312" w:lineRule="auto"/>
    </w:pPr>
    <w:rPr>
      <w:b/>
    </w:rPr>
  </w:style>
  <w:style w:type="paragraph" w:styleId="TOC2">
    <w:name w:val="toc 2"/>
    <w:basedOn w:val="Normal"/>
    <w:next w:val="Normal"/>
    <w:autoRedefine/>
    <w:uiPriority w:val="39"/>
    <w:unhideWhenUsed/>
    <w:rsid w:val="00512FCD"/>
    <w:pPr>
      <w:spacing w:after="0" w:line="288" w:lineRule="auto"/>
      <w:ind w:left="850" w:right="340" w:hanging="425"/>
    </w:pPr>
  </w:style>
  <w:style w:type="paragraph" w:styleId="TOC3">
    <w:name w:val="toc 3"/>
    <w:basedOn w:val="Normal"/>
    <w:next w:val="Normal"/>
    <w:autoRedefine/>
    <w:uiPriority w:val="39"/>
    <w:unhideWhenUsed/>
    <w:rsid w:val="00512FCD"/>
    <w:pPr>
      <w:spacing w:after="0" w:line="288" w:lineRule="auto"/>
      <w:ind w:left="1134" w:right="567" w:hanging="567"/>
    </w:pPr>
  </w:style>
  <w:style w:type="paragraph" w:styleId="TOC4">
    <w:name w:val="toc 4"/>
    <w:basedOn w:val="Normal"/>
    <w:next w:val="Normal"/>
    <w:autoRedefine/>
    <w:uiPriority w:val="39"/>
    <w:unhideWhenUsed/>
    <w:rsid w:val="00512FCD"/>
    <w:pPr>
      <w:spacing w:before="120" w:after="0" w:line="288" w:lineRule="auto"/>
      <w:ind w:left="2269" w:right="567" w:hanging="1418"/>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76" Target="media/rId76.png" /><Relationship Type="http://schemas.openxmlformats.org/officeDocument/2006/relationships/image" Id="rId75" Target="media/rId75.png" /><Relationship Type="http://schemas.openxmlformats.org/officeDocument/2006/relationships/image" Id="rId74" Target="media/rId74.png" /></Relationships>
</file>

<file path=word/_rels/footnotes.xml.rels><?xml version="1.0" encoding="UTF-8"?>
<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49</Pages>
  <Words>23699</Words>
  <Characters>135090</Characters>
  <Application>Microsoft Macintosh Word</Application>
  <DocSecurity>0</DocSecurity>
  <Lines>1125</Lines>
  <Paragraphs>316</Paragraphs>
  <ScaleCrop>false</ScaleCrop>
  <HeadingPairs>
    <vt:vector size="2" baseType="variant">
      <vt:variant>
        <vt:lpstr>Title</vt:lpstr>
      </vt:variant>
      <vt:variant>
        <vt:i4>1</vt:i4>
      </vt:variant>
    </vt:vector>
  </HeadingPairs>
  <TitlesOfParts>
    <vt:vector size="1" baseType="lpstr">
      <vt:lpstr>PhD thesis</vt:lpstr>
    </vt:vector>
  </TitlesOfParts>
  <LinksUpToDate>false</LinksUpToDate>
  <CharactersWithSpaces>158473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PhD thesis</dc:title>
  <dc:creator>Elías Sæbjörn Eyþórsson</dc:creator>
  <dcterms:created xsi:type="dcterms:W3CDTF">2018-11-28T14:47:03Z</dcterms:created>
  <dcterms:modified xsi:type="dcterms:W3CDTF">2018-11-28T14:47:03Z</dcterms:modified>
</cp:coreProperties>
</file>